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326390</wp:posOffset>
            </wp:positionV>
            <wp:extent cx="70034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341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351790</wp:posOffset>
            </wp:positionV>
            <wp:extent cx="70034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UNITED STATES 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Washington, D.C. 20549</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10-K</w:t>
      </w:r>
    </w:p>
    <w:p>
      <w:pPr>
        <w:spacing w:after="0" w:line="9" w:lineRule="exact"/>
        <w:rPr>
          <w:sz w:val="24"/>
          <w:szCs w:val="24"/>
          <w:color w:val="auto"/>
        </w:rPr>
      </w:pPr>
    </w:p>
    <w:p>
      <w:pPr>
        <w:jc w:val="center"/>
        <w:spacing w:after="0"/>
        <w:rPr>
          <w:sz w:val="20"/>
          <w:szCs w:val="20"/>
          <w:color w:val="auto"/>
        </w:rPr>
      </w:pPr>
      <w:r>
        <w:rPr>
          <w:rFonts w:ascii="Wingdings" w:cs="Wingdings" w:eastAsia="Wingdings" w:hAnsi="Wingdings"/>
          <w:sz w:val="16"/>
          <w:szCs w:val="16"/>
          <w:b w:val="1"/>
          <w:bCs w:val="1"/>
          <w:color w:val="auto"/>
        </w:rPr>
        <w:t xml:space="preserve">x </w:t>
      </w:r>
      <w:r>
        <w:rPr>
          <w:rFonts w:ascii="Arial" w:cs="Arial" w:eastAsia="Arial" w:hAnsi="Arial"/>
          <w:sz w:val="16"/>
          <w:szCs w:val="16"/>
          <w:color w:val="auto"/>
        </w:rPr>
        <w:t>ANNUAL REPORT PURSUANT TO SECTION 13 OR 15(d) OF THE</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EXCHANGE ACT OF 1934</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The Fiscal Year Ended September 29, 2024</w:t>
      </w:r>
    </w:p>
    <w:p>
      <w:pPr>
        <w:ind w:left="5500"/>
        <w:spacing w:after="0"/>
        <w:rPr>
          <w:sz w:val="20"/>
          <w:szCs w:val="20"/>
          <w:color w:val="auto"/>
        </w:rPr>
      </w:pPr>
      <w:r>
        <w:rPr>
          <w:rFonts w:ascii="Arial" w:cs="Arial" w:eastAsia="Arial" w:hAnsi="Arial"/>
          <w:sz w:val="16"/>
          <w:szCs w:val="16"/>
          <w:color w:val="auto"/>
        </w:rPr>
        <w:t>OR</w:t>
      </w:r>
    </w:p>
    <w:p>
      <w:pPr>
        <w:spacing w:after="0" w:line="15" w:lineRule="exact"/>
        <w:rPr>
          <w:sz w:val="24"/>
          <w:szCs w:val="24"/>
          <w:color w:val="auto"/>
        </w:rPr>
      </w:pPr>
    </w:p>
    <w:p>
      <w:pPr>
        <w:ind w:left="2900"/>
        <w:spacing w:after="0"/>
        <w:rPr>
          <w:sz w:val="20"/>
          <w:szCs w:val="20"/>
          <w:color w:val="auto"/>
        </w:rPr>
      </w:pPr>
      <w:r>
        <w:rPr>
          <w:rFonts w:ascii="Wingdings" w:cs="Wingdings" w:eastAsia="Wingdings" w:hAnsi="Wingdings"/>
          <w:sz w:val="16"/>
          <w:szCs w:val="16"/>
          <w:b w:val="1"/>
          <w:bCs w:val="1"/>
          <w:color w:val="auto"/>
        </w:rPr>
        <w:t xml:space="preserve">o </w:t>
      </w:r>
      <w:r>
        <w:rPr>
          <w:rFonts w:ascii="Arial" w:cs="Arial" w:eastAsia="Arial" w:hAnsi="Arial"/>
          <w:sz w:val="16"/>
          <w:szCs w:val="16"/>
          <w:color w:val="auto"/>
        </w:rPr>
        <w:t>TRANSITION REPORT 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EXCHANGE ACT OF 1934</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 1-6227</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LEE ENTERPRISES, INCORPORATED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3680" w:type="dxa"/>
            <w:vAlign w:val="bottom"/>
          </w:tcPr>
          <w:p>
            <w:pPr>
              <w:jc w:val="center"/>
              <w:ind w:left="1759"/>
              <w:spacing w:after="0"/>
              <w:rPr>
                <w:sz w:val="20"/>
                <w:szCs w:val="20"/>
                <w:color w:val="auto"/>
              </w:rPr>
            </w:pPr>
            <w:r>
              <w:rPr>
                <w:rFonts w:ascii="Arial" w:cs="Arial" w:eastAsia="Arial" w:hAnsi="Arial"/>
                <w:sz w:val="16"/>
                <w:szCs w:val="16"/>
                <w:color w:val="auto"/>
              </w:rPr>
              <w:t>Delaware</w:t>
            </w:r>
          </w:p>
        </w:tc>
        <w:tc>
          <w:tcPr>
            <w:tcW w:w="3820" w:type="dxa"/>
            <w:vAlign w:val="bottom"/>
          </w:tcPr>
          <w:p>
            <w:pPr>
              <w:spacing w:after="0"/>
              <w:rPr>
                <w:sz w:val="18"/>
                <w:szCs w:val="18"/>
                <w:color w:val="auto"/>
              </w:rPr>
            </w:pPr>
          </w:p>
        </w:tc>
        <w:tc>
          <w:tcPr>
            <w:tcW w:w="3740" w:type="dxa"/>
            <w:vAlign w:val="bottom"/>
          </w:tcPr>
          <w:p>
            <w:pPr>
              <w:jc w:val="right"/>
              <w:ind w:right="2459"/>
              <w:spacing w:after="0"/>
              <w:rPr>
                <w:sz w:val="20"/>
                <w:szCs w:val="20"/>
                <w:color w:val="auto"/>
              </w:rPr>
            </w:pPr>
            <w:r>
              <w:rPr>
                <w:rFonts w:ascii="Arial" w:cs="Arial" w:eastAsia="Arial" w:hAnsi="Arial"/>
                <w:sz w:val="16"/>
                <w:szCs w:val="16"/>
                <w:color w:val="auto"/>
              </w:rPr>
              <w:t>42-0823980</w:t>
            </w:r>
          </w:p>
        </w:tc>
      </w:tr>
      <w:tr>
        <w:trPr>
          <w:trHeight w:val="243"/>
        </w:trPr>
        <w:tc>
          <w:tcPr>
            <w:tcW w:w="3680" w:type="dxa"/>
            <w:vAlign w:val="bottom"/>
          </w:tcPr>
          <w:p>
            <w:pPr>
              <w:jc w:val="center"/>
              <w:ind w:left="1759"/>
              <w:spacing w:after="0"/>
              <w:rPr>
                <w:sz w:val="20"/>
                <w:szCs w:val="20"/>
                <w:color w:val="auto"/>
              </w:rPr>
            </w:pPr>
            <w:r>
              <w:rPr>
                <w:rFonts w:ascii="Arial" w:cs="Arial" w:eastAsia="Arial" w:hAnsi="Arial"/>
                <w:sz w:val="16"/>
                <w:szCs w:val="16"/>
                <w:color w:val="auto"/>
              </w:rPr>
              <w:t>(State of incorporation)</w:t>
            </w:r>
          </w:p>
        </w:tc>
        <w:tc>
          <w:tcPr>
            <w:tcW w:w="7560" w:type="dxa"/>
            <w:vAlign w:val="bottom"/>
            <w:gridSpan w:val="2"/>
          </w:tcPr>
          <w:p>
            <w:pPr>
              <w:jc w:val="center"/>
              <w:ind w:left="1539"/>
              <w:spacing w:after="0"/>
              <w:rPr>
                <w:sz w:val="20"/>
                <w:szCs w:val="20"/>
                <w:color w:val="auto"/>
              </w:rPr>
            </w:pPr>
            <w:r>
              <w:rPr>
                <w:rFonts w:ascii="Arial" w:cs="Arial" w:eastAsia="Arial" w:hAnsi="Arial"/>
                <w:sz w:val="16"/>
                <w:szCs w:val="16"/>
                <w:color w:val="auto"/>
              </w:rPr>
              <w:t>(I.R.S. Employer Identification No.)</w:t>
            </w:r>
          </w:p>
        </w:tc>
      </w:tr>
      <w:tr>
        <w:trPr>
          <w:trHeight w:val="285"/>
        </w:trPr>
        <w:tc>
          <w:tcPr>
            <w:tcW w:w="368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6"/>
                <w:szCs w:val="16"/>
                <w:color w:val="auto"/>
              </w:rPr>
              <w:t>4600 E 53rd Street, Davenport, Iowa 52807</w:t>
            </w:r>
          </w:p>
        </w:tc>
        <w:tc>
          <w:tcPr>
            <w:tcW w:w="3740" w:type="dxa"/>
            <w:vAlign w:val="bottom"/>
          </w:tcPr>
          <w:p>
            <w:pPr>
              <w:spacing w:after="0"/>
              <w:rPr>
                <w:sz w:val="24"/>
                <w:szCs w:val="24"/>
                <w:color w:val="auto"/>
              </w:rPr>
            </w:pPr>
          </w:p>
        </w:tc>
      </w:tr>
      <w:tr>
        <w:trPr>
          <w:trHeight w:val="189"/>
        </w:trPr>
        <w:tc>
          <w:tcPr>
            <w:tcW w:w="3680" w:type="dxa"/>
            <w:vAlign w:val="bottom"/>
          </w:tcPr>
          <w:p>
            <w:pPr>
              <w:spacing w:after="0"/>
              <w:rPr>
                <w:sz w:val="16"/>
                <w:szCs w:val="16"/>
                <w:color w:val="auto"/>
              </w:rPr>
            </w:pPr>
          </w:p>
        </w:tc>
        <w:tc>
          <w:tcPr>
            <w:tcW w:w="382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3740" w:type="dxa"/>
            <w:vAlign w:val="bottom"/>
          </w:tcPr>
          <w:p>
            <w:pPr>
              <w:spacing w:after="0"/>
              <w:rPr>
                <w:sz w:val="16"/>
                <w:szCs w:val="16"/>
                <w:color w:val="auto"/>
              </w:rPr>
            </w:pPr>
          </w:p>
        </w:tc>
      </w:tr>
      <w:tr>
        <w:trPr>
          <w:trHeight w:val="203"/>
        </w:trPr>
        <w:tc>
          <w:tcPr>
            <w:tcW w:w="3680" w:type="dxa"/>
            <w:vAlign w:val="bottom"/>
          </w:tcPr>
          <w:p>
            <w:pPr>
              <w:spacing w:after="0"/>
              <w:rPr>
                <w:sz w:val="17"/>
                <w:szCs w:val="17"/>
                <w:color w:val="auto"/>
              </w:rPr>
            </w:pPr>
          </w:p>
        </w:tc>
        <w:tc>
          <w:tcPr>
            <w:tcW w:w="3820" w:type="dxa"/>
            <w:vAlign w:val="bottom"/>
          </w:tcPr>
          <w:p>
            <w:pPr>
              <w:jc w:val="center"/>
              <w:spacing w:after="0"/>
              <w:rPr>
                <w:sz w:val="20"/>
                <w:szCs w:val="20"/>
                <w:color w:val="auto"/>
              </w:rPr>
            </w:pPr>
            <w:r>
              <w:rPr>
                <w:rFonts w:ascii="Arial" w:cs="Arial" w:eastAsia="Arial" w:hAnsi="Arial"/>
                <w:sz w:val="16"/>
                <w:szCs w:val="16"/>
                <w:color w:val="auto"/>
              </w:rPr>
              <w:t>(563) 383-2100</w:t>
            </w:r>
          </w:p>
        </w:tc>
        <w:tc>
          <w:tcPr>
            <w:tcW w:w="3740" w:type="dxa"/>
            <w:vAlign w:val="bottom"/>
          </w:tcPr>
          <w:p>
            <w:pPr>
              <w:spacing w:after="0"/>
              <w:rPr>
                <w:sz w:val="17"/>
                <w:szCs w:val="17"/>
                <w:color w:val="auto"/>
              </w:rPr>
            </w:pPr>
          </w:p>
        </w:tc>
      </w:tr>
      <w:tr>
        <w:trPr>
          <w:trHeight w:val="215"/>
        </w:trPr>
        <w:tc>
          <w:tcPr>
            <w:tcW w:w="3680" w:type="dxa"/>
            <w:vAlign w:val="bottom"/>
          </w:tcPr>
          <w:p>
            <w:pPr>
              <w:spacing w:after="0"/>
              <w:rPr>
                <w:sz w:val="18"/>
                <w:szCs w:val="18"/>
                <w:color w:val="auto"/>
              </w:rPr>
            </w:pPr>
          </w:p>
        </w:tc>
        <w:tc>
          <w:tcPr>
            <w:tcW w:w="3820" w:type="dxa"/>
            <w:vAlign w:val="bottom"/>
          </w:tcPr>
          <w:p>
            <w:pPr>
              <w:jc w:val="center"/>
              <w:spacing w:after="0"/>
              <w:rPr>
                <w:sz w:val="20"/>
                <w:szCs w:val="20"/>
                <w:color w:val="auto"/>
              </w:rPr>
            </w:pPr>
            <w:r>
              <w:rPr>
                <w:rFonts w:ascii="Arial" w:cs="Arial" w:eastAsia="Arial" w:hAnsi="Arial"/>
                <w:sz w:val="16"/>
                <w:szCs w:val="16"/>
                <w:color w:val="auto"/>
              </w:rPr>
              <w:t>Registrant's telephone number, including area code</w:t>
            </w:r>
          </w:p>
        </w:tc>
        <w:tc>
          <w:tcPr>
            <w:tcW w:w="3740" w:type="dxa"/>
            <w:vAlign w:val="bottom"/>
          </w:tcPr>
          <w:p>
            <w:pPr>
              <w:spacing w:after="0"/>
              <w:rPr>
                <w:sz w:val="18"/>
                <w:szCs w:val="18"/>
                <w:color w:val="auto"/>
              </w:rPr>
            </w:pPr>
          </w:p>
        </w:tc>
      </w:tr>
      <w:tr>
        <w:trPr>
          <w:trHeight w:val="124"/>
        </w:trPr>
        <w:tc>
          <w:tcPr>
            <w:tcW w:w="11240" w:type="dxa"/>
            <w:vAlign w:val="bottom"/>
            <w:tcBorders>
              <w:bottom w:val="single" w:sz="8" w:color="auto"/>
            </w:tcBorders>
            <w:gridSpan w:val="3"/>
          </w:tcPr>
          <w:p>
            <w:pPr>
              <w:spacing w:after="0"/>
              <w:rPr>
                <w:sz w:val="10"/>
                <w:szCs w:val="10"/>
                <w:color w:val="auto"/>
              </w:rPr>
            </w:pPr>
          </w:p>
        </w:tc>
      </w:tr>
      <w:tr>
        <w:trPr>
          <w:trHeight w:val="230"/>
        </w:trPr>
        <w:tc>
          <w:tcPr>
            <w:tcW w:w="1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Securities registered pursuant to Section 12(b) of the Act:</w:t>
            </w:r>
          </w:p>
        </w:tc>
      </w:tr>
      <w:tr>
        <w:trPr>
          <w:trHeight w:val="237"/>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3820" w:type="dxa"/>
            <w:vAlign w:val="bottom"/>
            <w:tcBorders>
              <w:bottom w:val="single" w:sz="8" w:color="auto"/>
            </w:tcBorders>
          </w:tcPr>
          <w:p>
            <w:pPr>
              <w:jc w:val="center"/>
              <w:ind w:right="619"/>
              <w:spacing w:after="0"/>
              <w:rPr>
                <w:sz w:val="20"/>
                <w:szCs w:val="20"/>
                <w:color w:val="auto"/>
              </w:rPr>
            </w:pPr>
            <w:r>
              <w:rPr>
                <w:rFonts w:ascii="Arial" w:cs="Arial" w:eastAsia="Arial" w:hAnsi="Arial"/>
                <w:sz w:val="16"/>
                <w:szCs w:val="16"/>
                <w:color w:val="auto"/>
              </w:rPr>
              <w:t>Trading Symbol(s)</w:t>
            </w:r>
          </w:p>
        </w:tc>
        <w:tc>
          <w:tcPr>
            <w:tcW w:w="3740" w:type="dxa"/>
            <w:vAlign w:val="bottom"/>
            <w:tcBorders>
              <w:bottom w:val="single" w:sz="8" w:color="auto"/>
            </w:tcBorders>
          </w:tcPr>
          <w:p>
            <w:pPr>
              <w:jc w:val="center"/>
              <w:ind w:right="619"/>
              <w:spacing w:after="0"/>
              <w:rPr>
                <w:sz w:val="20"/>
                <w:szCs w:val="20"/>
                <w:color w:val="auto"/>
              </w:rPr>
            </w:pPr>
            <w:r>
              <w:rPr>
                <w:rFonts w:ascii="Arial" w:cs="Arial" w:eastAsia="Arial" w:hAnsi="Arial"/>
                <w:sz w:val="16"/>
                <w:szCs w:val="16"/>
                <w:color w:val="auto"/>
              </w:rPr>
              <w:t>Name of Exchange On Which Registered</w:t>
            </w:r>
          </w:p>
        </w:tc>
      </w:tr>
      <w:tr>
        <w:trPr>
          <w:trHeight w:val="227"/>
        </w:trPr>
        <w:tc>
          <w:tcPr>
            <w:tcW w:w="3680" w:type="dxa"/>
            <w:vAlign w:val="bottom"/>
          </w:tcPr>
          <w:p>
            <w:pPr>
              <w:jc w:val="center"/>
              <w:spacing w:after="0"/>
              <w:rPr>
                <w:sz w:val="20"/>
                <w:szCs w:val="20"/>
                <w:color w:val="auto"/>
              </w:rPr>
            </w:pPr>
            <w:r>
              <w:rPr>
                <w:rFonts w:ascii="Arial" w:cs="Arial" w:eastAsia="Arial" w:hAnsi="Arial"/>
                <w:sz w:val="16"/>
                <w:szCs w:val="16"/>
                <w:color w:val="auto"/>
              </w:rPr>
              <w:t>Common Stock - $0.01 par value</w:t>
            </w:r>
          </w:p>
        </w:tc>
        <w:tc>
          <w:tcPr>
            <w:tcW w:w="3820" w:type="dxa"/>
            <w:vAlign w:val="bottom"/>
          </w:tcPr>
          <w:p>
            <w:pPr>
              <w:jc w:val="center"/>
              <w:ind w:right="599"/>
              <w:spacing w:after="0"/>
              <w:rPr>
                <w:sz w:val="20"/>
                <w:szCs w:val="20"/>
                <w:color w:val="auto"/>
              </w:rPr>
            </w:pPr>
            <w:r>
              <w:rPr>
                <w:rFonts w:ascii="Arial" w:cs="Arial" w:eastAsia="Arial" w:hAnsi="Arial"/>
                <w:sz w:val="16"/>
                <w:szCs w:val="16"/>
                <w:color w:val="auto"/>
                <w:w w:val="99"/>
              </w:rPr>
              <w:t>LEE</w:t>
            </w:r>
          </w:p>
        </w:tc>
        <w:tc>
          <w:tcPr>
            <w:tcW w:w="3740" w:type="dxa"/>
            <w:vAlign w:val="bottom"/>
          </w:tcPr>
          <w:p>
            <w:pPr>
              <w:jc w:val="center"/>
              <w:ind w:right="599"/>
              <w:spacing w:after="0"/>
              <w:rPr>
                <w:sz w:val="20"/>
                <w:szCs w:val="20"/>
                <w:color w:val="auto"/>
              </w:rPr>
            </w:pPr>
            <w:r>
              <w:rPr>
                <w:rFonts w:ascii="Arial" w:cs="Arial" w:eastAsia="Arial" w:hAnsi="Arial"/>
                <w:sz w:val="16"/>
                <w:szCs w:val="16"/>
                <w:color w:val="auto"/>
              </w:rPr>
              <w:t>The Nasdaq Global Select Market</w:t>
            </w:r>
          </w:p>
        </w:tc>
      </w:tr>
      <w:tr>
        <w:trPr>
          <w:trHeight w:val="243"/>
        </w:trPr>
        <w:tc>
          <w:tcPr>
            <w:tcW w:w="3680" w:type="dxa"/>
            <w:vAlign w:val="bottom"/>
          </w:tcPr>
          <w:p>
            <w:pPr>
              <w:jc w:val="center"/>
              <w:spacing w:after="0"/>
              <w:rPr>
                <w:sz w:val="20"/>
                <w:szCs w:val="20"/>
                <w:color w:val="auto"/>
              </w:rPr>
            </w:pPr>
            <w:r>
              <w:rPr>
                <w:rFonts w:ascii="Arial" w:cs="Arial" w:eastAsia="Arial" w:hAnsi="Arial"/>
                <w:sz w:val="16"/>
                <w:szCs w:val="16"/>
                <w:color w:val="auto"/>
              </w:rPr>
              <w:t>Preferred Share Purchase Rights</w:t>
            </w:r>
          </w:p>
        </w:tc>
        <w:tc>
          <w:tcPr>
            <w:tcW w:w="3820" w:type="dxa"/>
            <w:vAlign w:val="bottom"/>
          </w:tcPr>
          <w:p>
            <w:pPr>
              <w:jc w:val="center"/>
              <w:ind w:right="599"/>
              <w:spacing w:after="0"/>
              <w:rPr>
                <w:sz w:val="20"/>
                <w:szCs w:val="20"/>
                <w:color w:val="auto"/>
              </w:rPr>
            </w:pPr>
            <w:r>
              <w:rPr>
                <w:rFonts w:ascii="Arial" w:cs="Arial" w:eastAsia="Arial" w:hAnsi="Arial"/>
                <w:sz w:val="16"/>
                <w:szCs w:val="16"/>
                <w:color w:val="auto"/>
                <w:w w:val="99"/>
              </w:rPr>
              <w:t>LEE</w:t>
            </w:r>
          </w:p>
        </w:tc>
        <w:tc>
          <w:tcPr>
            <w:tcW w:w="3740" w:type="dxa"/>
            <w:vAlign w:val="bottom"/>
          </w:tcPr>
          <w:p>
            <w:pPr>
              <w:jc w:val="center"/>
              <w:ind w:right="599"/>
              <w:spacing w:after="0"/>
              <w:rPr>
                <w:sz w:val="20"/>
                <w:szCs w:val="20"/>
                <w:color w:val="auto"/>
              </w:rPr>
            </w:pPr>
            <w:r>
              <w:rPr>
                <w:rFonts w:ascii="Arial" w:cs="Arial" w:eastAsia="Arial" w:hAnsi="Arial"/>
                <w:sz w:val="16"/>
                <w:szCs w:val="16"/>
                <w:color w:val="auto"/>
              </w:rPr>
              <w:t>The Nasdaq Global Select Market</w:t>
            </w:r>
          </w:p>
        </w:tc>
      </w:tr>
    </w:tbl>
    <w:p>
      <w:pPr>
        <w:spacing w:after="0" w:line="96" w:lineRule="exact"/>
        <w:rPr>
          <w:sz w:val="24"/>
          <w:szCs w:val="24"/>
          <w:color w:val="auto"/>
        </w:rPr>
      </w:pPr>
    </w:p>
    <w:p>
      <w:pPr>
        <w:ind w:right="1740"/>
        <w:spacing w:after="0" w:line="413" w:lineRule="auto"/>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Wingdings" w:cs="Wingdings" w:eastAsia="Wingdings" w:hAnsi="Wingdings"/>
          <w:sz w:val="16"/>
          <w:szCs w:val="16"/>
          <w:b w:val="1"/>
          <w:bCs w:val="1"/>
          <w:color w:val="auto"/>
        </w:rPr>
        <w:t>o</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Wingdings" w:cs="Wingdings" w:eastAsia="Wingdings" w:hAnsi="Wingdings"/>
          <w:sz w:val="16"/>
          <w:szCs w:val="16"/>
          <w:b w:val="1"/>
          <w:bCs w:val="1"/>
          <w:color w:val="auto"/>
        </w:rPr>
        <w:t>o</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x</w:t>
      </w:r>
    </w:p>
    <w:p>
      <w:pPr>
        <w:spacing w:after="0" w:line="1"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o</w:t>
      </w:r>
    </w:p>
    <w:p>
      <w:pPr>
        <w:spacing w:after="0" w:line="83" w:lineRule="exact"/>
        <w:rPr>
          <w:sz w:val="24"/>
          <w:szCs w:val="24"/>
          <w:color w:val="auto"/>
        </w:rPr>
      </w:pPr>
    </w:p>
    <w:p>
      <w:pPr>
        <w:jc w:val="both"/>
        <w:ind w:right="20"/>
        <w:spacing w:after="0" w:line="286" w:lineRule="auto"/>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such shorter period that the Registrant was required to submit). 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o</w:t>
      </w:r>
    </w:p>
    <w:p>
      <w:pPr>
        <w:spacing w:after="0" w:line="75"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p>
      <w:pPr>
        <w:spacing w:after="0"/>
        <w:tabs>
          <w:tab w:leader="none" w:pos="5100" w:val="left"/>
        </w:tabs>
        <w:rPr>
          <w:sz w:val="20"/>
          <w:szCs w:val="20"/>
          <w:color w:val="auto"/>
        </w:rPr>
      </w:pPr>
      <w:r>
        <w:rPr>
          <w:rFonts w:ascii="Arial" w:cs="Arial" w:eastAsia="Arial" w:hAnsi="Arial"/>
          <w:sz w:val="16"/>
          <w:szCs w:val="16"/>
          <w:color w:val="auto"/>
        </w:rPr>
        <w:t xml:space="preserve">Large accelerated filer </w:t>
      </w:r>
      <w:r>
        <w:rPr>
          <w:rFonts w:ascii="Wingdings" w:cs="Wingdings" w:eastAsia="Wingdings" w:hAnsi="Wingdings"/>
          <w:sz w:val="16"/>
          <w:szCs w:val="16"/>
          <w:b w:val="1"/>
          <w:bCs w:val="1"/>
          <w:color w:val="auto"/>
        </w:rPr>
        <w:t>o</w:t>
      </w:r>
      <w:r>
        <w:rPr>
          <w:rFonts w:ascii="Arial" w:cs="Arial" w:eastAsia="Arial" w:hAnsi="Arial"/>
          <w:sz w:val="16"/>
          <w:szCs w:val="16"/>
          <w:color w:val="auto"/>
        </w:rPr>
        <w:t xml:space="preserve"> Accelerated filer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Non-accelerated filer </w:t>
      </w:r>
      <w:r>
        <w:rPr>
          <w:rFonts w:ascii="Wingdings" w:cs="Wingdings" w:eastAsia="Wingdings" w:hAnsi="Wingdings"/>
          <w:sz w:val="16"/>
          <w:szCs w:val="16"/>
          <w:b w:val="1"/>
          <w:bCs w:val="1"/>
          <w:color w:val="auto"/>
        </w:rPr>
        <w:t>o</w:t>
      </w:r>
      <w:r>
        <w:rPr>
          <w:rFonts w:ascii="Arial" w:cs="Arial" w:eastAsia="Arial" w:hAnsi="Arial"/>
          <w:sz w:val="16"/>
          <w:szCs w:val="16"/>
          <w:color w:val="auto"/>
        </w:rPr>
        <w:tab/>
        <w:t xml:space="preserve">Smaller Reporting Company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Emerging growth company </w:t>
      </w:r>
      <w:r>
        <w:rPr>
          <w:rFonts w:ascii="Wingdings" w:cs="Wingdings" w:eastAsia="Wingdings" w:hAnsi="Wingdings"/>
          <w:sz w:val="16"/>
          <w:szCs w:val="16"/>
          <w:b w:val="1"/>
          <w:bCs w:val="1"/>
          <w:color w:val="auto"/>
        </w:rPr>
        <w:t>o</w:t>
      </w:r>
    </w:p>
    <w:p>
      <w:pPr>
        <w:spacing w:after="0" w:line="140" w:lineRule="exact"/>
        <w:rPr>
          <w:sz w:val="24"/>
          <w:szCs w:val="24"/>
          <w:color w:val="auto"/>
        </w:rPr>
      </w:pPr>
    </w:p>
    <w:p>
      <w:pPr>
        <w:jc w:val="both"/>
        <w:spacing w:after="0" w:line="286"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75"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registrant's public accounting firm that prepared or issued its audit report. </w:t>
      </w:r>
      <w:r>
        <w:rPr>
          <w:rFonts w:ascii="Wingdings" w:cs="Wingdings" w:eastAsia="Wingdings" w:hAnsi="Wingdings"/>
          <w:sz w:val="16"/>
          <w:szCs w:val="16"/>
          <w:b w:val="1"/>
          <w:bCs w:val="1"/>
          <w:color w:val="auto"/>
        </w:rPr>
        <w:t>x</w:t>
      </w:r>
    </w:p>
    <w:p>
      <w:pPr>
        <w:spacing w:after="0" w:line="83" w:lineRule="exact"/>
        <w:rPr>
          <w:sz w:val="24"/>
          <w:szCs w:val="24"/>
          <w:color w:val="auto"/>
        </w:rPr>
      </w:pPr>
    </w:p>
    <w:p>
      <w:pPr>
        <w:jc w:val="both"/>
        <w:spacing w:after="0" w:line="286" w:lineRule="auto"/>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6"/>
          <w:szCs w:val="16"/>
          <w:b w:val="1"/>
          <w:bCs w:val="1"/>
          <w:color w:val="auto"/>
        </w:rPr>
        <w:t>x</w:t>
      </w:r>
    </w:p>
    <w:p>
      <w:pPr>
        <w:spacing w:after="0" w:line="75" w:lineRule="exact"/>
        <w:rPr>
          <w:sz w:val="24"/>
          <w:szCs w:val="24"/>
          <w:color w:val="auto"/>
        </w:rPr>
      </w:pPr>
    </w:p>
    <w:p>
      <w:pPr>
        <w:jc w:val="both"/>
        <w:spacing w:after="0" w:line="286" w:lineRule="auto"/>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6"/>
          <w:szCs w:val="16"/>
          <w:b w:val="1"/>
          <w:bCs w:val="1"/>
          <w:color w:val="auto"/>
        </w:rPr>
        <w:t>o</w:t>
      </w:r>
    </w:p>
    <w:p>
      <w:pPr>
        <w:spacing w:after="0" w:line="75"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Wingdings" w:cs="Wingdings" w:eastAsia="Wingdings" w:hAnsi="Wingdings"/>
          <w:sz w:val="16"/>
          <w:szCs w:val="16"/>
          <w:b w:val="1"/>
          <w:bCs w:val="1"/>
          <w:color w:val="auto"/>
        </w:rPr>
        <w:t>o</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x</w:t>
      </w:r>
    </w:p>
    <w:p>
      <w:pPr>
        <w:spacing w:after="0" w:line="140" w:lineRule="exact"/>
        <w:rPr>
          <w:sz w:val="24"/>
          <w:szCs w:val="24"/>
          <w:color w:val="auto"/>
        </w:rPr>
      </w:pPr>
    </w:p>
    <w:p>
      <w:pPr>
        <w:jc w:val="both"/>
        <w:spacing w:after="0" w:line="286" w:lineRule="auto"/>
        <w:rPr>
          <w:sz w:val="20"/>
          <w:szCs w:val="20"/>
          <w:color w:val="auto"/>
        </w:rPr>
      </w:pPr>
      <w:r>
        <w:rPr>
          <w:rFonts w:ascii="Arial" w:cs="Arial" w:eastAsia="Arial" w:hAnsi="Arial"/>
          <w:sz w:val="16"/>
          <w:szCs w:val="16"/>
          <w:color w:val="auto"/>
        </w:rPr>
        <w:t>As of March 24, 2024, the aggregate market value of the Registrant's common stock held by non-affiliates of the registrant was $76,612,787. As of November 30, 2024 6,189,997 shares of Common Stock $0.01 par value were outstanding.</w:t>
      </w:r>
    </w:p>
    <w:p>
      <w:pPr>
        <w:spacing w:after="0" w:line="75" w:lineRule="exact"/>
        <w:rPr>
          <w:sz w:val="24"/>
          <w:szCs w:val="24"/>
          <w:color w:val="auto"/>
        </w:rPr>
      </w:pPr>
    </w:p>
    <w:p>
      <w:pPr>
        <w:jc w:val="both"/>
        <w:spacing w:after="0" w:line="286" w:lineRule="auto"/>
        <w:rPr>
          <w:sz w:val="20"/>
          <w:szCs w:val="20"/>
          <w:color w:val="auto"/>
        </w:rPr>
      </w:pPr>
      <w:r>
        <w:rPr>
          <w:rFonts w:ascii="Arial" w:cs="Arial" w:eastAsia="Arial" w:hAnsi="Arial"/>
          <w:sz w:val="16"/>
          <w:szCs w:val="16"/>
          <w:color w:val="auto"/>
        </w:rPr>
        <w:t>Documents incorporated by reference: Portions of the registrant’s definitive proxy statement relating to its 2025 Annual Meeting of Stockholders are incorporated by reference in Part III, Items 10-14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5080</wp:posOffset>
            </wp:positionV>
            <wp:extent cx="70034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3415"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30480</wp:posOffset>
            </wp:positionV>
            <wp:extent cx="70034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2160" w:type="dxa"/>
            <w:vAlign w:val="bottom"/>
            <w:gridSpan w:val="3"/>
          </w:tcPr>
          <w:p>
            <w:pPr>
              <w:spacing w:after="0"/>
              <w:rPr>
                <w:sz w:val="20"/>
                <w:szCs w:val="20"/>
                <w:color w:val="auto"/>
              </w:rPr>
            </w:pPr>
            <w:r>
              <w:rPr>
                <w:rFonts w:ascii="Arial" w:cs="Arial" w:eastAsia="Arial" w:hAnsi="Arial"/>
                <w:sz w:val="18"/>
                <w:szCs w:val="18"/>
                <w:b w:val="1"/>
                <w:bCs w:val="1"/>
                <w:color w:val="auto"/>
              </w:rPr>
              <w:t>TABLE OF CONTENTS</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37"/>
        </w:trPr>
        <w:tc>
          <w:tcPr>
            <w:tcW w:w="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2160" w:type="dxa"/>
            <w:vAlign w:val="bottom"/>
            <w:gridSpan w:val="3"/>
          </w:tcPr>
          <w:p>
            <w:pPr>
              <w:spacing w:after="0"/>
              <w:rPr>
                <w:sz w:val="20"/>
                <w:szCs w:val="20"/>
                <w:color w:val="auto"/>
              </w:rPr>
            </w:pPr>
            <w:r>
              <w:rPr>
                <w:rFonts w:ascii="Arial" w:cs="Arial" w:eastAsia="Arial" w:hAnsi="Arial"/>
                <w:sz w:val="18"/>
                <w:szCs w:val="18"/>
                <w:color w:val="auto"/>
              </w:rPr>
              <w:t>Part I</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Item 1</w:t>
            </w:r>
          </w:p>
        </w:tc>
        <w:tc>
          <w:tcPr>
            <w:tcW w:w="740" w:type="dxa"/>
            <w:vAlign w:val="bottom"/>
            <w:gridSpan w:val="2"/>
          </w:tcPr>
          <w:p>
            <w:pPr>
              <w:spacing w:after="0"/>
              <w:rPr>
                <w:sz w:val="20"/>
                <w:szCs w:val="20"/>
                <w:color w:val="auto"/>
              </w:rPr>
            </w:pPr>
            <w:r>
              <w:rPr>
                <w:rFonts w:ascii="Arial" w:cs="Arial" w:eastAsia="Arial" w:hAnsi="Arial"/>
                <w:sz w:val="18"/>
                <w:szCs w:val="18"/>
                <w:color w:val="0000FF"/>
                <w:w w:val="98"/>
              </w:rPr>
              <w:t>Business</w:t>
            </w:r>
          </w:p>
        </w:tc>
        <w:tc>
          <w:tcPr>
            <w:tcW w:w="7540" w:type="dxa"/>
            <w:vAlign w:val="bottom"/>
            <w:gridSpan w:val="19"/>
          </w:tcPr>
          <w:p>
            <w:pPr>
              <w:spacing w:after="0"/>
              <w:rPr>
                <w:sz w:val="24"/>
                <w:szCs w:val="24"/>
                <w:color w:val="auto"/>
              </w:rPr>
            </w:pPr>
          </w:p>
        </w:tc>
        <w:tc>
          <w:tcPr>
            <w:tcW w:w="660" w:type="dxa"/>
            <w:vAlign w:val="bottom"/>
            <w:gridSpan w:val="2"/>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Item 1A</w:t>
            </w:r>
          </w:p>
        </w:tc>
        <w:tc>
          <w:tcPr>
            <w:tcW w:w="8280" w:type="dxa"/>
            <w:vAlign w:val="bottom"/>
            <w:gridSpan w:val="21"/>
          </w:tcPr>
          <w:p>
            <w:pPr>
              <w:spacing w:after="0"/>
              <w:rPr>
                <w:sz w:val="20"/>
                <w:szCs w:val="20"/>
                <w:color w:val="auto"/>
              </w:rPr>
            </w:pPr>
            <w:r>
              <w:rPr>
                <w:rFonts w:ascii="Arial" w:cs="Arial" w:eastAsia="Arial" w:hAnsi="Arial"/>
                <w:sz w:val="18"/>
                <w:szCs w:val="18"/>
                <w:color w:val="0000FF"/>
              </w:rPr>
              <w:t>Risk Factors</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0000FF"/>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Item 1B</w:t>
            </w:r>
          </w:p>
        </w:tc>
        <w:tc>
          <w:tcPr>
            <w:tcW w:w="2260" w:type="dxa"/>
            <w:vAlign w:val="bottom"/>
            <w:gridSpan w:val="11"/>
          </w:tcPr>
          <w:p>
            <w:pPr>
              <w:spacing w:after="0"/>
              <w:rPr>
                <w:sz w:val="20"/>
                <w:szCs w:val="20"/>
                <w:color w:val="auto"/>
              </w:rPr>
            </w:pPr>
            <w:r>
              <w:rPr>
                <w:rFonts w:ascii="Arial" w:cs="Arial" w:eastAsia="Arial" w:hAnsi="Arial"/>
                <w:sz w:val="18"/>
                <w:szCs w:val="18"/>
                <w:color w:val="0000FF"/>
                <w:w w:val="99"/>
              </w:rPr>
              <w:t>Unresolved Staff Comments</w:t>
            </w:r>
          </w:p>
        </w:tc>
        <w:tc>
          <w:tcPr>
            <w:tcW w:w="6020" w:type="dxa"/>
            <w:vAlign w:val="bottom"/>
            <w:gridSpan w:val="10"/>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Item 1C</w:t>
            </w:r>
          </w:p>
        </w:tc>
        <w:tc>
          <w:tcPr>
            <w:tcW w:w="2260" w:type="dxa"/>
            <w:vAlign w:val="bottom"/>
            <w:gridSpan w:val="11"/>
          </w:tcPr>
          <w:p>
            <w:pPr>
              <w:spacing w:after="0"/>
              <w:rPr>
                <w:sz w:val="20"/>
                <w:szCs w:val="20"/>
                <w:color w:val="auto"/>
              </w:rPr>
            </w:pPr>
            <w:r>
              <w:rPr>
                <w:rFonts w:ascii="Arial" w:cs="Arial" w:eastAsia="Arial" w:hAnsi="Arial"/>
                <w:sz w:val="18"/>
                <w:szCs w:val="18"/>
                <w:color w:val="0000FF"/>
              </w:rPr>
              <w:t>Cybersecurity</w:t>
            </w:r>
          </w:p>
        </w:tc>
        <w:tc>
          <w:tcPr>
            <w:tcW w:w="6020" w:type="dxa"/>
            <w:vAlign w:val="bottom"/>
            <w:gridSpan w:val="10"/>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Item 2</w:t>
            </w:r>
          </w:p>
        </w:tc>
        <w:tc>
          <w:tcPr>
            <w:tcW w:w="1100" w:type="dxa"/>
            <w:vAlign w:val="bottom"/>
            <w:gridSpan w:val="5"/>
          </w:tcPr>
          <w:p>
            <w:pPr>
              <w:spacing w:after="0"/>
              <w:rPr>
                <w:sz w:val="20"/>
                <w:szCs w:val="20"/>
                <w:color w:val="auto"/>
              </w:rPr>
            </w:pPr>
            <w:r>
              <w:rPr>
                <w:rFonts w:ascii="Arial" w:cs="Arial" w:eastAsia="Arial" w:hAnsi="Arial"/>
                <w:sz w:val="18"/>
                <w:szCs w:val="18"/>
                <w:color w:val="0000FF"/>
              </w:rPr>
              <w:t>Properties</w:t>
            </w:r>
          </w:p>
        </w:tc>
        <w:tc>
          <w:tcPr>
            <w:tcW w:w="7180" w:type="dxa"/>
            <w:vAlign w:val="bottom"/>
            <w:gridSpan w:val="16"/>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Item 3</w:t>
            </w:r>
          </w:p>
        </w:tc>
        <w:tc>
          <w:tcPr>
            <w:tcW w:w="1500" w:type="dxa"/>
            <w:vAlign w:val="bottom"/>
            <w:gridSpan w:val="8"/>
          </w:tcPr>
          <w:p>
            <w:pPr>
              <w:spacing w:after="0"/>
              <w:rPr>
                <w:sz w:val="20"/>
                <w:szCs w:val="20"/>
                <w:color w:val="auto"/>
              </w:rPr>
            </w:pPr>
            <w:r>
              <w:rPr>
                <w:rFonts w:ascii="Arial" w:cs="Arial" w:eastAsia="Arial" w:hAnsi="Arial"/>
                <w:sz w:val="18"/>
                <w:szCs w:val="18"/>
                <w:color w:val="0000FF"/>
                <w:w w:val="99"/>
              </w:rPr>
              <w:t>Legal Proceedings</w:t>
            </w:r>
          </w:p>
        </w:tc>
        <w:tc>
          <w:tcPr>
            <w:tcW w:w="6780" w:type="dxa"/>
            <w:vAlign w:val="bottom"/>
            <w:gridSpan w:val="13"/>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Item 4</w:t>
            </w:r>
          </w:p>
        </w:tc>
        <w:tc>
          <w:tcPr>
            <w:tcW w:w="8280" w:type="dxa"/>
            <w:vAlign w:val="bottom"/>
            <w:gridSpan w:val="21"/>
          </w:tcPr>
          <w:p>
            <w:pPr>
              <w:spacing w:after="0"/>
              <w:rPr>
                <w:sz w:val="20"/>
                <w:szCs w:val="20"/>
                <w:color w:val="auto"/>
              </w:rPr>
            </w:pPr>
            <w:r>
              <w:rPr>
                <w:rFonts w:ascii="Arial" w:cs="Arial" w:eastAsia="Arial" w:hAnsi="Arial"/>
                <w:sz w:val="18"/>
                <w:szCs w:val="18"/>
                <w:color w:val="0000FF"/>
              </w:rPr>
              <w:t>Mine Safety Disclosures</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0000FF"/>
              </w:rPr>
              <w:t>15</w:t>
            </w: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2160" w:type="dxa"/>
            <w:vAlign w:val="bottom"/>
            <w:gridSpan w:val="3"/>
          </w:tcPr>
          <w:p>
            <w:pPr>
              <w:spacing w:after="0"/>
              <w:rPr>
                <w:sz w:val="20"/>
                <w:szCs w:val="20"/>
                <w:color w:val="auto"/>
              </w:rPr>
            </w:pPr>
            <w:r>
              <w:rPr>
                <w:rFonts w:ascii="Arial" w:cs="Arial" w:eastAsia="Arial" w:hAnsi="Arial"/>
                <w:sz w:val="18"/>
                <w:szCs w:val="18"/>
                <w:color w:val="auto"/>
              </w:rPr>
              <w:t>Part II</w:t>
            </w:r>
          </w:p>
        </w:tc>
        <w:tc>
          <w:tcPr>
            <w:tcW w:w="6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Item 5</w:t>
            </w:r>
          </w:p>
        </w:tc>
        <w:tc>
          <w:tcPr>
            <w:tcW w:w="8280" w:type="dxa"/>
            <w:vAlign w:val="bottom"/>
            <w:gridSpan w:val="21"/>
          </w:tcPr>
          <w:p>
            <w:pPr>
              <w:spacing w:after="0"/>
              <w:rPr>
                <w:sz w:val="20"/>
                <w:szCs w:val="20"/>
                <w:color w:val="auto"/>
              </w:rPr>
            </w:pPr>
            <w:r>
              <w:rPr>
                <w:rFonts w:ascii="Arial" w:cs="Arial" w:eastAsia="Arial" w:hAnsi="Arial"/>
                <w:sz w:val="18"/>
                <w:szCs w:val="18"/>
                <w:color w:val="0000FF"/>
              </w:rPr>
              <w:t>Market for the Registrant's Common Equity, Related Stockholder Matters and Issuer Purchases of</w:t>
            </w:r>
          </w:p>
        </w:tc>
        <w:tc>
          <w:tcPr>
            <w:tcW w:w="78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16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780" w:type="dxa"/>
            <w:vAlign w:val="bottom"/>
            <w:tcBorders>
              <w:top w:val="single" w:sz="8" w:color="0000FF"/>
            </w:tcBorders>
            <w:gridSpan w:val="19"/>
          </w:tcPr>
          <w:p>
            <w:pPr>
              <w:spacing w:after="0" w:line="169" w:lineRule="exact"/>
              <w:rPr>
                <w:sz w:val="20"/>
                <w:szCs w:val="20"/>
                <w:color w:val="auto"/>
              </w:rPr>
            </w:pPr>
            <w:r>
              <w:rPr>
                <w:rFonts w:ascii="Arial" w:cs="Arial" w:eastAsia="Arial" w:hAnsi="Arial"/>
                <w:sz w:val="18"/>
                <w:szCs w:val="18"/>
                <w:color w:val="0000FF"/>
              </w:rPr>
              <w:t>Equity Securities</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Item 6</w:t>
            </w:r>
          </w:p>
        </w:tc>
        <w:tc>
          <w:tcPr>
            <w:tcW w:w="820" w:type="dxa"/>
            <w:vAlign w:val="bottom"/>
            <w:gridSpan w:val="3"/>
          </w:tcPr>
          <w:p>
            <w:pPr>
              <w:spacing w:after="0"/>
              <w:rPr>
                <w:sz w:val="20"/>
                <w:szCs w:val="20"/>
                <w:color w:val="auto"/>
              </w:rPr>
            </w:pPr>
            <w:r>
              <w:rPr>
                <w:rFonts w:ascii="Arial" w:cs="Arial" w:eastAsia="Arial" w:hAnsi="Arial"/>
                <w:sz w:val="18"/>
                <w:szCs w:val="18"/>
                <w:color w:val="0000FF"/>
                <w:w w:val="89"/>
              </w:rPr>
              <w:t>[Reserved]</w:t>
            </w:r>
          </w:p>
        </w:tc>
        <w:tc>
          <w:tcPr>
            <w:tcW w:w="520" w:type="dxa"/>
            <w:vAlign w:val="bottom"/>
            <w:gridSpan w:val="3"/>
          </w:tcPr>
          <w:p>
            <w:pPr>
              <w:spacing w:after="0"/>
              <w:rPr>
                <w:sz w:val="24"/>
                <w:szCs w:val="24"/>
                <w:color w:val="auto"/>
              </w:rPr>
            </w:pPr>
          </w:p>
        </w:tc>
        <w:tc>
          <w:tcPr>
            <w:tcW w:w="6940" w:type="dxa"/>
            <w:vAlign w:val="bottom"/>
            <w:gridSpan w:val="15"/>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Item 7</w:t>
            </w:r>
          </w:p>
        </w:tc>
        <w:tc>
          <w:tcPr>
            <w:tcW w:w="8280" w:type="dxa"/>
            <w:vAlign w:val="bottom"/>
            <w:gridSpan w:val="21"/>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0000FF"/>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Item 8</w:t>
            </w:r>
          </w:p>
        </w:tc>
        <w:tc>
          <w:tcPr>
            <w:tcW w:w="7080" w:type="dxa"/>
            <w:vAlign w:val="bottom"/>
            <w:gridSpan w:val="17"/>
          </w:tcPr>
          <w:p>
            <w:pPr>
              <w:spacing w:after="0"/>
              <w:rPr>
                <w:sz w:val="20"/>
                <w:szCs w:val="20"/>
                <w:color w:val="auto"/>
              </w:rPr>
            </w:pPr>
            <w:r>
              <w:rPr>
                <w:rFonts w:ascii="Arial" w:cs="Arial" w:eastAsia="Arial" w:hAnsi="Arial"/>
                <w:sz w:val="18"/>
                <w:szCs w:val="18"/>
                <w:color w:val="0000FF"/>
              </w:rPr>
              <w:t>Financial Statements and Supplementary Data</w:t>
            </w:r>
          </w:p>
        </w:tc>
        <w:tc>
          <w:tcPr>
            <w:tcW w:w="1200" w:type="dxa"/>
            <w:vAlign w:val="bottom"/>
            <w:gridSpan w:val="4"/>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Item 9</w:t>
            </w:r>
          </w:p>
        </w:tc>
        <w:tc>
          <w:tcPr>
            <w:tcW w:w="7140" w:type="dxa"/>
            <w:vAlign w:val="bottom"/>
            <w:gridSpan w:val="18"/>
          </w:tcPr>
          <w:p>
            <w:pPr>
              <w:spacing w:after="0"/>
              <w:rPr>
                <w:sz w:val="20"/>
                <w:szCs w:val="20"/>
                <w:color w:val="auto"/>
              </w:rPr>
            </w:pPr>
            <w:r>
              <w:rPr>
                <w:rFonts w:ascii="Arial" w:cs="Arial" w:eastAsia="Arial" w:hAnsi="Arial"/>
                <w:sz w:val="18"/>
                <w:szCs w:val="18"/>
                <w:color w:val="0000FF"/>
                <w:w w:val="99"/>
              </w:rPr>
              <w:t>Changes in and Disagreements with Accountants on Accounting and Financial Disclosure</w:t>
            </w:r>
          </w:p>
        </w:tc>
        <w:tc>
          <w:tcPr>
            <w:tcW w:w="1140" w:type="dxa"/>
            <w:vAlign w:val="bottom"/>
            <w:gridSpan w:val="3"/>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Item 9A</w:t>
            </w:r>
          </w:p>
        </w:tc>
        <w:tc>
          <w:tcPr>
            <w:tcW w:w="2000" w:type="dxa"/>
            <w:vAlign w:val="bottom"/>
            <w:gridSpan w:val="10"/>
          </w:tcPr>
          <w:p>
            <w:pPr>
              <w:spacing w:after="0"/>
              <w:rPr>
                <w:sz w:val="20"/>
                <w:szCs w:val="20"/>
                <w:color w:val="auto"/>
              </w:rPr>
            </w:pPr>
            <w:r>
              <w:rPr>
                <w:rFonts w:ascii="Arial" w:cs="Arial" w:eastAsia="Arial" w:hAnsi="Arial"/>
                <w:sz w:val="18"/>
                <w:szCs w:val="18"/>
                <w:color w:val="0000FF"/>
                <w:w w:val="99"/>
              </w:rPr>
              <w:t>Controls and Procedures</w:t>
            </w:r>
          </w:p>
        </w:tc>
        <w:tc>
          <w:tcPr>
            <w:tcW w:w="5140" w:type="dxa"/>
            <w:vAlign w:val="bottom"/>
            <w:gridSpan w:val="8"/>
          </w:tcPr>
          <w:p>
            <w:pPr>
              <w:spacing w:after="0"/>
              <w:rPr>
                <w:sz w:val="24"/>
                <w:szCs w:val="24"/>
                <w:color w:val="auto"/>
              </w:rPr>
            </w:pPr>
          </w:p>
        </w:tc>
        <w:tc>
          <w:tcPr>
            <w:tcW w:w="1140" w:type="dxa"/>
            <w:vAlign w:val="bottom"/>
            <w:gridSpan w:val="3"/>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Item 9B</w:t>
            </w:r>
          </w:p>
        </w:tc>
        <w:tc>
          <w:tcPr>
            <w:tcW w:w="2000" w:type="dxa"/>
            <w:vAlign w:val="bottom"/>
            <w:gridSpan w:val="10"/>
          </w:tcPr>
          <w:p>
            <w:pPr>
              <w:spacing w:after="0"/>
              <w:rPr>
                <w:sz w:val="20"/>
                <w:szCs w:val="20"/>
                <w:color w:val="auto"/>
              </w:rPr>
            </w:pPr>
            <w:r>
              <w:rPr>
                <w:rFonts w:ascii="Arial" w:cs="Arial" w:eastAsia="Arial" w:hAnsi="Arial"/>
                <w:sz w:val="18"/>
                <w:szCs w:val="18"/>
                <w:color w:val="0000FF"/>
              </w:rPr>
              <w:t>Other Information</w:t>
            </w:r>
          </w:p>
        </w:tc>
        <w:tc>
          <w:tcPr>
            <w:tcW w:w="6280" w:type="dxa"/>
            <w:vAlign w:val="bottom"/>
            <w:gridSpan w:val="11"/>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27</w:t>
            </w: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2160" w:type="dxa"/>
            <w:vAlign w:val="bottom"/>
            <w:gridSpan w:val="3"/>
          </w:tcPr>
          <w:p>
            <w:pPr>
              <w:spacing w:after="0"/>
              <w:rPr>
                <w:sz w:val="20"/>
                <w:szCs w:val="20"/>
                <w:color w:val="auto"/>
              </w:rPr>
            </w:pPr>
            <w:r>
              <w:rPr>
                <w:rFonts w:ascii="Arial" w:cs="Arial" w:eastAsia="Arial" w:hAnsi="Arial"/>
                <w:sz w:val="18"/>
                <w:szCs w:val="18"/>
                <w:color w:val="auto"/>
              </w:rPr>
              <w:t>Part III</w:t>
            </w:r>
          </w:p>
        </w:tc>
        <w:tc>
          <w:tcPr>
            <w:tcW w:w="6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Item 10</w:t>
            </w:r>
          </w:p>
        </w:tc>
        <w:tc>
          <w:tcPr>
            <w:tcW w:w="8280" w:type="dxa"/>
            <w:vAlign w:val="bottom"/>
            <w:gridSpan w:val="21"/>
          </w:tcPr>
          <w:p>
            <w:pPr>
              <w:spacing w:after="0"/>
              <w:rPr>
                <w:sz w:val="20"/>
                <w:szCs w:val="20"/>
                <w:color w:val="auto"/>
              </w:rPr>
            </w:pPr>
            <w:r>
              <w:rPr>
                <w:rFonts w:ascii="Arial" w:cs="Arial" w:eastAsia="Arial" w:hAnsi="Arial"/>
                <w:sz w:val="18"/>
                <w:szCs w:val="18"/>
                <w:color w:val="0000FF"/>
              </w:rPr>
              <w:t>Directors, Executive Officers and Corporate Governance</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0000FF"/>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Item 11</w:t>
            </w:r>
          </w:p>
        </w:tc>
        <w:tc>
          <w:tcPr>
            <w:tcW w:w="2000" w:type="dxa"/>
            <w:vAlign w:val="bottom"/>
            <w:gridSpan w:val="10"/>
          </w:tcPr>
          <w:p>
            <w:pPr>
              <w:spacing w:after="0"/>
              <w:rPr>
                <w:sz w:val="20"/>
                <w:szCs w:val="20"/>
                <w:color w:val="auto"/>
              </w:rPr>
            </w:pPr>
            <w:r>
              <w:rPr>
                <w:rFonts w:ascii="Arial" w:cs="Arial" w:eastAsia="Arial" w:hAnsi="Arial"/>
                <w:sz w:val="18"/>
                <w:szCs w:val="18"/>
                <w:color w:val="0000FF"/>
                <w:w w:val="99"/>
              </w:rPr>
              <w:t>Executive Compensation</w:t>
            </w:r>
          </w:p>
        </w:tc>
        <w:tc>
          <w:tcPr>
            <w:tcW w:w="2500" w:type="dxa"/>
            <w:vAlign w:val="bottom"/>
            <w:gridSpan w:val="5"/>
          </w:tcPr>
          <w:p>
            <w:pPr>
              <w:spacing w:after="0"/>
              <w:rPr>
                <w:sz w:val="24"/>
                <w:szCs w:val="24"/>
                <w:color w:val="auto"/>
              </w:rPr>
            </w:pPr>
          </w:p>
        </w:tc>
        <w:tc>
          <w:tcPr>
            <w:tcW w:w="3780" w:type="dxa"/>
            <w:vAlign w:val="bottom"/>
            <w:gridSpan w:val="6"/>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380" w:type="dxa"/>
            <w:vAlign w:val="bottom"/>
            <w:gridSpan w:val="9"/>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Item 12</w:t>
            </w:r>
          </w:p>
        </w:tc>
        <w:tc>
          <w:tcPr>
            <w:tcW w:w="8020" w:type="dxa"/>
            <w:vAlign w:val="bottom"/>
            <w:gridSpan w:val="20"/>
          </w:tcPr>
          <w:p>
            <w:pPr>
              <w:spacing w:after="0"/>
              <w:rPr>
                <w:sz w:val="20"/>
                <w:szCs w:val="20"/>
                <w:color w:val="auto"/>
              </w:rPr>
            </w:pPr>
            <w:r>
              <w:rPr>
                <w:rFonts w:ascii="Arial" w:cs="Arial" w:eastAsia="Arial" w:hAnsi="Arial"/>
                <w:sz w:val="18"/>
                <w:szCs w:val="18"/>
                <w:color w:val="0000FF"/>
                <w:w w:val="99"/>
              </w:rPr>
              <w:t>Security Ownership of Certain Beneficial Owners and Management and Related Stockholder Matters</w:t>
            </w: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560" w:type="dxa"/>
            <w:vAlign w:val="bottom"/>
            <w:gridSpan w:val="11"/>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Item 13</w:t>
            </w:r>
          </w:p>
        </w:tc>
        <w:tc>
          <w:tcPr>
            <w:tcW w:w="8020" w:type="dxa"/>
            <w:vAlign w:val="bottom"/>
            <w:gridSpan w:val="20"/>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560" w:type="dxa"/>
            <w:vAlign w:val="bottom"/>
            <w:gridSpan w:val="11"/>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Item 14</w:t>
            </w:r>
          </w:p>
        </w:tc>
        <w:tc>
          <w:tcPr>
            <w:tcW w:w="6080" w:type="dxa"/>
            <w:vAlign w:val="bottom"/>
            <w:gridSpan w:val="16"/>
          </w:tcPr>
          <w:p>
            <w:pPr>
              <w:spacing w:after="0"/>
              <w:rPr>
                <w:sz w:val="20"/>
                <w:szCs w:val="20"/>
                <w:color w:val="auto"/>
              </w:rPr>
            </w:pPr>
            <w:r>
              <w:rPr>
                <w:rFonts w:ascii="Arial" w:cs="Arial" w:eastAsia="Arial" w:hAnsi="Arial"/>
                <w:sz w:val="18"/>
                <w:szCs w:val="18"/>
                <w:color w:val="0000FF"/>
              </w:rPr>
              <w:t>Principal Accounting Fees and Services</w:t>
            </w:r>
          </w:p>
        </w:tc>
        <w:tc>
          <w:tcPr>
            <w:tcW w:w="2200" w:type="dxa"/>
            <w:vAlign w:val="bottom"/>
            <w:gridSpan w:val="5"/>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28</w:t>
            </w: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2160" w:type="dxa"/>
            <w:vAlign w:val="bottom"/>
            <w:gridSpan w:val="3"/>
          </w:tcPr>
          <w:p>
            <w:pPr>
              <w:spacing w:after="0"/>
              <w:rPr>
                <w:sz w:val="20"/>
                <w:szCs w:val="20"/>
                <w:color w:val="auto"/>
              </w:rPr>
            </w:pPr>
            <w:r>
              <w:rPr>
                <w:rFonts w:ascii="Arial" w:cs="Arial" w:eastAsia="Arial" w:hAnsi="Arial"/>
                <w:sz w:val="18"/>
                <w:szCs w:val="18"/>
                <w:color w:val="auto"/>
              </w:rPr>
              <w:t>Part IV</w:t>
            </w:r>
          </w:p>
        </w:tc>
        <w:tc>
          <w:tcPr>
            <w:tcW w:w="6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Item 15</w:t>
            </w:r>
          </w:p>
        </w:tc>
        <w:tc>
          <w:tcPr>
            <w:tcW w:w="3520" w:type="dxa"/>
            <w:vAlign w:val="bottom"/>
            <w:gridSpan w:val="13"/>
          </w:tcPr>
          <w:p>
            <w:pPr>
              <w:spacing w:after="0"/>
              <w:rPr>
                <w:sz w:val="20"/>
                <w:szCs w:val="20"/>
                <w:color w:val="auto"/>
              </w:rPr>
            </w:pPr>
            <w:r>
              <w:rPr>
                <w:rFonts w:ascii="Arial" w:cs="Arial" w:eastAsia="Arial" w:hAnsi="Arial"/>
                <w:sz w:val="18"/>
                <w:szCs w:val="18"/>
                <w:color w:val="0000FF"/>
                <w:w w:val="99"/>
              </w:rPr>
              <w:t>Exhibits and Financial Statement Schedules</w:t>
            </w:r>
          </w:p>
        </w:tc>
        <w:tc>
          <w:tcPr>
            <w:tcW w:w="4760" w:type="dxa"/>
            <w:vAlign w:val="bottom"/>
            <w:gridSpan w:val="8"/>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900" w:type="dxa"/>
            <w:vAlign w:val="bottom"/>
            <w:gridSpan w:val="12"/>
            <w:shd w:val="clear" w:color="auto" w:fill="0000FF"/>
          </w:tcPr>
          <w:p>
            <w:pPr>
              <w:spacing w:after="0" w:line="20" w:lineRule="exact"/>
              <w:rPr>
                <w:sz w:val="1"/>
                <w:szCs w:val="1"/>
                <w:color w:val="auto"/>
              </w:rPr>
            </w:pPr>
          </w:p>
        </w:tc>
        <w:tc>
          <w:tcPr>
            <w:tcW w:w="4760" w:type="dxa"/>
            <w:vAlign w:val="bottom"/>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0440" w:type="dxa"/>
            <w:vAlign w:val="bottom"/>
            <w:gridSpan w:val="24"/>
          </w:tcPr>
          <w:p>
            <w:pPr>
              <w:spacing w:after="0"/>
              <w:rPr>
                <w:sz w:val="20"/>
                <w:szCs w:val="20"/>
                <w:color w:val="auto"/>
              </w:rPr>
            </w:pPr>
            <w:r>
              <w:rPr>
                <w:rFonts w:ascii="Arial" w:cs="Arial" w:eastAsia="Arial" w:hAnsi="Arial"/>
                <w:sz w:val="18"/>
                <w:szCs w:val="18"/>
                <w:color w:val="0000FF"/>
              </w:rPr>
              <w:t>Consolidated Financial Statements</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0000FF"/>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Arial" w:cs="Arial" w:eastAsia="Arial" w:hAnsi="Arial"/>
                <w:sz w:val="18"/>
                <w:szCs w:val="18"/>
                <w:color w:val="0000FF"/>
                <w:w w:val="98"/>
              </w:rPr>
              <w:t>Exhibit Index</w:t>
            </w: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73</w:t>
            </w: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860" w:type="dxa"/>
            <w:vAlign w:val="bottom"/>
            <w:tcBorders>
              <w:top w:val="single" w:sz="8" w:color="0000FF"/>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Borders>
              <w:top w:val="single" w:sz="8" w:color="0000FF"/>
              <w:bottom w:val="single" w:sz="8" w:color="auto"/>
            </w:tcBorders>
          </w:tcPr>
          <w:p>
            <w:pPr>
              <w:spacing w:after="0"/>
              <w:rPr>
                <w:sz w:val="12"/>
                <w:szCs w:val="12"/>
                <w:color w:val="auto"/>
              </w:rPr>
            </w:pPr>
          </w:p>
        </w:tc>
        <w:tc>
          <w:tcPr>
            <w:tcW w:w="100" w:type="dxa"/>
            <w:vAlign w:val="bottom"/>
            <w:tcBorders>
              <w:top w:val="single" w:sz="8" w:color="0000FF"/>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3"/>
        </w:trPr>
        <w:tc>
          <w:tcPr>
            <w:tcW w:w="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References to "Lee", "the Company", “we”, “our”, “us” and the like throughout this document refer to Lee Enterprises, Incorporated and subsidiaries. References to "2024", "2023", "2022" and the like refer to the fiscal years ended the last Sunday in September.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BUSINESS</w:t>
      </w:r>
    </w:p>
    <w:p>
      <w:pPr>
        <w:spacing w:after="0" w:line="23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Lee Enterprises, Incorporated </w:t>
      </w:r>
      <w:r>
        <w:rPr>
          <w:rFonts w:ascii="Arial" w:cs="Arial" w:eastAsia="Arial" w:hAnsi="Arial"/>
          <w:sz w:val="18"/>
          <w:szCs w:val="18"/>
          <w:color w:val="auto"/>
        </w:rPr>
        <w:t>is a leading digital-first subscription business dedicated to delivering high-quality, trusted, and intensely local</w:t>
      </w:r>
      <w:r>
        <w:rPr>
          <w:rFonts w:ascii="Arial" w:cs="Arial" w:eastAsia="Arial" w:hAnsi="Arial"/>
          <w:sz w:val="18"/>
          <w:szCs w:val="18"/>
          <w:b w:val="1"/>
          <w:bCs w:val="1"/>
          <w:color w:val="auto"/>
        </w:rPr>
        <w:t xml:space="preserve"> </w:t>
      </w:r>
      <w:r>
        <w:rPr>
          <w:rFonts w:ascii="Arial" w:cs="Arial" w:eastAsia="Arial" w:hAnsi="Arial"/>
          <w:sz w:val="18"/>
          <w:szCs w:val="18"/>
          <w:color w:val="auto"/>
        </w:rPr>
        <w:t>news, information, advertising, and marketing services. We serve 73 mid-sized communities across 26 states, engaging over 771,000 digital</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subscribers through our rapidly growing digital platform. Our mission is to enrich communities by providing engaging local content, enhancing subscriber experiences, and empowering more than 25,000 local advertisers with a comprehensive suite of omni-channel advertising and marketing solutions.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Our diverse portfolio includes digital subscription platforms, daily, weekly, and monthly newspapers, and niche products, all tailored to deliver</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original local content alongside national and international news. These products are accessible in both digital and print formats, with real-time updates available through our websites and mobile apps.</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 xml:space="preserve">Operating predominantly in mid -sized communities, our offerings range from prominent daily newspapers and their digital counterparts—such as the </w:t>
      </w:r>
      <w:r>
        <w:rPr>
          <w:rFonts w:ascii="Arial" w:cs="Arial" w:eastAsia="Arial" w:hAnsi="Arial"/>
          <w:sz w:val="17"/>
          <w:szCs w:val="17"/>
          <w:i w:val="1"/>
          <w:iCs w:val="1"/>
          <w:color w:val="auto"/>
        </w:rPr>
        <w:t>St. Louis Post-Dispatch</w:t>
      </w:r>
      <w:r>
        <w:rPr>
          <w:rFonts w:ascii="Arial" w:cs="Arial" w:eastAsia="Arial" w:hAnsi="Arial"/>
          <w:sz w:val="17"/>
          <w:szCs w:val="17"/>
          <w:color w:val="auto"/>
        </w:rPr>
        <w:t xml:space="preserve"> and </w:t>
      </w:r>
      <w:r>
        <w:rPr>
          <w:rFonts w:ascii="Arial" w:cs="Arial" w:eastAsia="Arial" w:hAnsi="Arial"/>
          <w:sz w:val="17"/>
          <w:szCs w:val="17"/>
          <w:i w:val="1"/>
          <w:iCs w:val="1"/>
          <w:color w:val="auto"/>
        </w:rPr>
        <w:t>The Buffalo News</w:t>
      </w:r>
      <w:r>
        <w:rPr>
          <w:rFonts w:ascii="Arial" w:cs="Arial" w:eastAsia="Arial" w:hAnsi="Arial"/>
          <w:sz w:val="17"/>
          <w:szCs w:val="17"/>
          <w:color w:val="auto"/>
        </w:rPr>
        <w:t>—to non-daily newspapers and digital platforms serving smaller towns. By combining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deep local insights with innovative digital solutions, Lee Enterprises is transforming the way communities stay informed and connected.</w:t>
      </w:r>
    </w:p>
    <w:p>
      <w:pPr>
        <w:spacing w:after="0" w:line="20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Technology, media, and consumer behavior are experiencing a seismic shift driven by the rise of generative AI. This groundbreaking innovation is transforming how information is created, shared, and consumed, offering an unprecedented opportunity for media companies to adapt, innovate, and solidify their role as trusted providers of news and information.</w:t>
      </w:r>
    </w:p>
    <w:p>
      <w:pPr>
        <w:spacing w:after="0" w:line="208"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As a local news organization operating across 26 states, Lee is uniquely positioned to succeed in this evolving landscape. Our communities depend on us not only for unbiased reporting but also as the vital connection that brings together neighbors, leaders, and businesses. Leveraging the transformative potential of generative AI, we are enhancing our commitment to truth, transparency, and service—ensuring we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remain a cornerstone of the communities we serve in this dynamic new era.</w:t>
      </w:r>
    </w:p>
    <w:p>
      <w:pPr>
        <w:spacing w:after="0" w:line="20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While monetization opportunities of our content and data continue to grow, we generate revenue today primarily through advertising and marketing services, subscriptions to our digital and print products, and digital services, primarily through our majority-owned subsidiary, BLOX Digital, our software as a service content platform.</w:t>
      </w:r>
    </w:p>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Advertising and Marketing Services </w:t>
      </w:r>
      <w:r>
        <w:rPr>
          <w:rFonts w:ascii="Arial" w:cs="Arial" w:eastAsia="Arial" w:hAnsi="Arial"/>
          <w:sz w:val="18"/>
          <w:szCs w:val="18"/>
          <w:color w:val="auto"/>
        </w:rPr>
        <w:t>Lee provides comprehensive advertising and marketing services tailored to local, regional, and</w:t>
      </w:r>
      <w:r>
        <w:rPr>
          <w:rFonts w:ascii="Arial" w:cs="Arial" w:eastAsia="Arial" w:hAnsi="Arial"/>
          <w:sz w:val="18"/>
          <w:szCs w:val="18"/>
          <w:b w:val="1"/>
          <w:bCs w:val="1"/>
          <w:color w:val="auto"/>
        </w:rPr>
        <w:t xml:space="preserve"> </w:t>
      </w:r>
      <w:r>
        <w:rPr>
          <w:rFonts w:ascii="Arial" w:cs="Arial" w:eastAsia="Arial" w:hAnsi="Arial"/>
          <w:sz w:val="18"/>
          <w:szCs w:val="18"/>
          <w:color w:val="auto"/>
        </w:rPr>
        <w:t>national businesses. Our advertising revenue streams are categorized as follows:</w:t>
      </w:r>
    </w:p>
    <w:p>
      <w:pPr>
        <w:spacing w:after="0" w:line="179"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Digital Advertising</w:t>
      </w:r>
      <w:r>
        <w:rPr>
          <w:rFonts w:ascii="Arial" w:cs="Arial" w:eastAsia="Arial" w:hAnsi="Arial"/>
          <w:sz w:val="18"/>
          <w:szCs w:val="18"/>
          <w:color w:val="auto"/>
        </w:rPr>
        <w:t>: Display and targeted advertising on our owned and operated digital platforms.</w:t>
      </w:r>
    </w:p>
    <w:p>
      <w:pPr>
        <w:spacing w:after="0" w:line="225" w:lineRule="exact"/>
        <w:rPr>
          <w:rFonts w:ascii="Arial" w:cs="Arial" w:eastAsia="Arial" w:hAnsi="Arial"/>
          <w:sz w:val="18"/>
          <w:szCs w:val="18"/>
          <w:color w:val="auto"/>
        </w:rPr>
      </w:pPr>
    </w:p>
    <w:p>
      <w:pPr>
        <w:jc w:val="both"/>
        <w:ind w:left="660" w:hanging="328"/>
        <w:spacing w:after="0" w:line="245"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Digital Marketing Services</w:t>
      </w:r>
      <w:r>
        <w:rPr>
          <w:rFonts w:ascii="Arial" w:cs="Arial" w:eastAsia="Arial" w:hAnsi="Arial"/>
          <w:sz w:val="18"/>
          <w:szCs w:val="18"/>
          <w:color w:val="auto"/>
        </w:rPr>
        <w:t>: Offered through</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Amplified</w:t>
      </w:r>
      <w:r>
        <w:rPr>
          <w:rFonts w:ascii="Arial" w:cs="Arial" w:eastAsia="Arial" w:hAnsi="Arial"/>
          <w:sz w:val="18"/>
          <w:szCs w:val="18"/>
          <w:color w:val="auto"/>
        </w:rPr>
        <w:t>, our suite includes targeted display, video, OTT (over-the-top), hyper</w:t>
      </w:r>
      <w:r>
        <w:rPr>
          <w:rFonts w:ascii="Arial" w:cs="Arial" w:eastAsia="Arial" w:hAnsi="Arial"/>
          <w:sz w:val="18"/>
          <w:szCs w:val="18"/>
          <w:b w:val="1"/>
          <w:bCs w:val="1"/>
          <w:color w:val="auto"/>
        </w:rPr>
        <w:t xml:space="preserve"> </w:t>
      </w:r>
      <w:r>
        <w:rPr>
          <w:rFonts w:ascii="Arial" w:cs="Arial" w:eastAsia="Arial" w:hAnsi="Arial"/>
          <w:sz w:val="18"/>
          <w:szCs w:val="18"/>
          <w:color w:val="auto"/>
        </w:rPr>
        <w:t>targeted AI advertising, custom content, web development, social media management, search engine marketing, events, email campaigns, and other advanced marketing strategies.</w:t>
      </w:r>
    </w:p>
    <w:p>
      <w:pPr>
        <w:spacing w:after="0" w:line="18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Print Advertising</w:t>
      </w:r>
      <w:r>
        <w:rPr>
          <w:rFonts w:ascii="Arial" w:cs="Arial" w:eastAsia="Arial" w:hAnsi="Arial"/>
          <w:sz w:val="18"/>
          <w:szCs w:val="18"/>
          <w:color w:val="auto"/>
        </w:rPr>
        <w:t>: Display advertising featured in our daily and non-daily print publications.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Preprinted Inserts</w:t>
      </w:r>
      <w:r>
        <w:rPr>
          <w:rFonts w:ascii="Arial" w:cs="Arial" w:eastAsia="Arial" w:hAnsi="Arial"/>
          <w:sz w:val="18"/>
          <w:szCs w:val="18"/>
          <w:color w:val="auto"/>
        </w:rPr>
        <w:t>: Advertising distributed within our daily and non-daily print products.</w:t>
      </w:r>
    </w:p>
    <w:p>
      <w:pPr>
        <w:spacing w:after="0" w:line="239"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 xml:space="preserve">Digital advertising and marketing services remain a cornerstone of our strategic priorities for 2025. Our advertising teams utilize an omni-channel sales approach, integrating the reach of our owned and operated platforms with the capabilities of </w:t>
      </w:r>
      <w:r>
        <w:rPr>
          <w:rFonts w:ascii="Arial" w:cs="Arial" w:eastAsia="Arial" w:hAnsi="Arial"/>
          <w:sz w:val="18"/>
          <w:szCs w:val="18"/>
          <w:i w:val="1"/>
          <w:iCs w:val="1"/>
          <w:color w:val="auto"/>
        </w:rPr>
        <w:t>Amplified</w:t>
      </w:r>
      <w:r>
        <w:rPr>
          <w:rFonts w:ascii="Arial" w:cs="Arial" w:eastAsia="Arial" w:hAnsi="Arial"/>
          <w:sz w:val="18"/>
          <w:szCs w:val="18"/>
          <w:color w:val="auto"/>
        </w:rPr>
        <w:t>. This approach enables us to provide a full suite of digital marketing solutions.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Leveraging a nationally scaled sales force, proprietary ad technology, and robust analytics, we deliver data-driven, customized advertising</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solutions. Using AI-powered media planning, we craft targeted, integrated campaigns to help advertisers connect with their intended audiences effectively.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Subscription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Lee offers a range of subscription options, including digital-only subscriptions, full-access subscriptions, and single-copy sales.</w:t>
      </w:r>
    </w:p>
    <w:p>
      <w:pPr>
        <w:spacing w:after="0" w:line="239" w:lineRule="exact"/>
        <w:rPr>
          <w:sz w:val="20"/>
          <w:szCs w:val="20"/>
          <w:color w:val="auto"/>
        </w:rPr>
      </w:pPr>
    </w:p>
    <w:p>
      <w:pPr>
        <w:ind w:left="660" w:hanging="328"/>
        <w:spacing w:after="0" w:line="256"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Digital-Only Subscriptions</w:t>
      </w:r>
      <w:r>
        <w:rPr>
          <w:rFonts w:ascii="Arial" w:cs="Arial" w:eastAsia="Arial" w:hAnsi="Arial"/>
          <w:sz w:val="18"/>
          <w:szCs w:val="18"/>
          <w:color w:val="auto"/>
        </w:rPr>
        <w:t>: This rapidly growing segment offers access to our content exclusively through digital platforms.</w:t>
      </w:r>
      <w:r>
        <w:rPr>
          <w:rFonts w:ascii="Arial" w:cs="Arial" w:eastAsia="Arial" w:hAnsi="Arial"/>
          <w:sz w:val="18"/>
          <w:szCs w:val="18"/>
          <w:b w:val="1"/>
          <w:bCs w:val="1"/>
          <w:color w:val="auto"/>
        </w:rPr>
        <w:t xml:space="preserve"> </w:t>
      </w:r>
      <w:r>
        <w:rPr>
          <w:rFonts w:ascii="Arial" w:cs="Arial" w:eastAsia="Arial" w:hAnsi="Arial"/>
          <w:sz w:val="18"/>
          <w:szCs w:val="18"/>
          <w:color w:val="auto"/>
        </w:rPr>
        <w:t>Expanding our digital-only subscriber base and revenue remains a top strategic priority for 2025.</w:t>
      </w:r>
    </w:p>
    <w:p>
      <w:pPr>
        <w:spacing w:after="0" w:line="179" w:lineRule="exact"/>
        <w:rPr>
          <w:rFonts w:ascii="Arial" w:cs="Arial" w:eastAsia="Arial" w:hAnsi="Arial"/>
          <w:sz w:val="18"/>
          <w:szCs w:val="18"/>
          <w:color w:val="auto"/>
        </w:rPr>
      </w:pPr>
    </w:p>
    <w:p>
      <w:pPr>
        <w:jc w:val="both"/>
        <w:ind w:left="660" w:hanging="328"/>
        <w:spacing w:after="0" w:line="245"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Full-Access Subscriptions</w:t>
      </w:r>
      <w:r>
        <w:rPr>
          <w:rFonts w:ascii="Arial" w:cs="Arial" w:eastAsia="Arial" w:hAnsi="Arial"/>
          <w:sz w:val="18"/>
          <w:szCs w:val="18"/>
          <w:color w:val="auto"/>
        </w:rPr>
        <w:t>: Provide comprehensive access to our content across multiple platforms, including print editions</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or available for pickup), websites, smartphone and tablet apps, and e-editions. Pricing varies significantly by market and delivery frequency. Like broader industry trends, print subscription volumes declined in 2024.</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To drive digital-only subscription growth, we employ several key strategies:</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Investing in relevant, trusted, and hyper-local news and information that deeply connects with our communities.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Launching brand marketing campaigns to highlight the value and appeal of our content.</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Continuously enhancing the subscriber experience to improve engagement and satisfaction.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Converting organic website traffic into subscribers through on-platform promotions, paywalls, and dynamic metering systems.</w:t>
      </w:r>
    </w:p>
    <w:p>
      <w:pPr>
        <w:spacing w:after="0" w:line="22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also implement a variety of pricing strategies, such as discounted introductory offers, to encourage trial usage and build habituation before transitioning subscribers to standard rates.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This multi-faceted approach ensures we remain a trusted source of information while capitalizing on the opportunities of the digital-first era.</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generate revenue primarily through advertising and marketing services, subscriptions to our digital and print products, and digital services, primarily through our majority-owned subsidiary, BLOX Digital.</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Digital advertising and marketing services remain a key strategic priority for us in 2025. Our advertising teams deploy an omni-channel sales approach that leverages our owned and operated products with Amplified to offer a full suite of digital advertising and marketing services. Through our nationally scaled sales force, proprietary ad tech, and sophisticated reporting and analytics, we believe we are well positioned to solve advertising solutions for our advertisers. Through our AI-driven media planning process, we present our advertisers with targeted, integrated solutions that help them reach their intended audiences.</w:t>
      </w:r>
    </w:p>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Advertising and marketing services revenues are subject to moderate seasonality primarily due to fluctuations in advertising volumes tied to holidays and seasonal advertising in our first fiscal quarter.</w:t>
      </w:r>
    </w:p>
    <w:p>
      <w:pPr>
        <w:spacing w:after="0" w:line="1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Digital Services Revenue – </w:t>
      </w:r>
      <w:r>
        <w:rPr>
          <w:rFonts w:ascii="Arial" w:cs="Arial" w:eastAsia="Arial" w:hAnsi="Arial"/>
          <w:sz w:val="18"/>
          <w:szCs w:val="18"/>
          <w:color w:val="auto"/>
        </w:rPr>
        <w:t>In 2024, almost all of our digital services revenue is from BLOX Digital. BLOX Digital, operated through our</w:t>
      </w:r>
      <w:r>
        <w:rPr>
          <w:rFonts w:ascii="Arial" w:cs="Arial" w:eastAsia="Arial" w:hAnsi="Arial"/>
          <w:sz w:val="18"/>
          <w:szCs w:val="18"/>
          <w:i w:val="1"/>
          <w:iCs w:val="1"/>
          <w:color w:val="auto"/>
        </w:rPr>
        <w:t xml:space="preserve"> </w:t>
      </w:r>
      <w:r>
        <w:rPr>
          <w:rFonts w:ascii="Arial" w:cs="Arial" w:eastAsia="Arial" w:hAnsi="Arial"/>
          <w:sz w:val="18"/>
          <w:szCs w:val="18"/>
          <w:color w:val="auto"/>
        </w:rPr>
        <w:t>82.5% owned subsidiary INN Partners, L.C., is one of the largest web-hosting and content management SaaS providers in North America and offers modern integrated digital publishing and content management solutions for creating, distributing, and monetizing multimedia content.</w:t>
      </w:r>
    </w:p>
    <w:p>
      <w:pPr>
        <w:spacing w:after="0" w:line="149" w:lineRule="exact"/>
        <w:rPr>
          <w:sz w:val="20"/>
          <w:szCs w:val="20"/>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BLOX Digital services more than 2,000 daily customers, including media publications, universities, television stations and niche publishers, including Lee.</w:t>
      </w:r>
    </w:p>
    <w:p>
      <w:pPr>
        <w:spacing w:after="0" w:line="11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Arial" w:cs="Arial" w:eastAsia="Arial" w:hAnsi="Arial"/>
          <w:sz w:val="18"/>
          <w:szCs w:val="18"/>
          <w:color w:val="auto"/>
        </w:rPr>
        <w:t>Including intercompany revenue generated from our markets, revenue at BLOX Digital grew 10.4% in 2024 and totaled $38.6 million.</w:t>
      </w:r>
    </w:p>
    <w:p>
      <w:pPr>
        <w:spacing w:after="0" w:line="237" w:lineRule="exact"/>
        <w:rPr>
          <w:rFonts w:ascii="Times New Roman" w:cs="Times New Roman" w:eastAsia="Times New Roman" w:hAnsi="Times New Roman"/>
          <w:sz w:val="18"/>
          <w:szCs w:val="18"/>
          <w:i w:val="1"/>
          <w:iCs w:val="1"/>
          <w:color w:val="auto"/>
        </w:rPr>
      </w:pPr>
    </w:p>
    <w:p>
      <w:pPr>
        <w:ind w:left="660" w:hanging="328"/>
        <w:spacing w:after="0" w:line="25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made significant investments in BLOX Digital in 2024 including enhancing its product capabilities that include an AI driven digital platform that offers a personalized mobile news app, a smart paywall, and an AI assistant tool.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Other Revenue </w:t>
      </w:r>
      <w:r>
        <w:rPr>
          <w:rFonts w:ascii="Arial" w:cs="Arial" w:eastAsia="Arial" w:hAnsi="Arial"/>
          <w:sz w:val="18"/>
          <w:szCs w:val="18"/>
          <w:color w:val="auto"/>
        </w:rPr>
        <w:t>- Excluding digital services revenue, other revenue is comprised mainly of commercial printing and delivery of third-party</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w:t>
      </w:r>
    </w:p>
    <w:p>
      <w:pPr>
        <w:spacing w:after="0" w:line="12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compete with other media and digital companies for advertising and marketing spend. Our print and digital products competed with other forms of media including national media providers and amateur content creators, as well as other news and information outlets for subscription spend. The market for local digital marketing solutions is highly competitive and evolving allowing opportunities for new competitors to enter the market.</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Amplified competes with other digital marketing solutions agencies as well as other media companies which have a similar strategy for digital marketing solutions. While some of our competitors enjoy competitive advantages such as greater name recognition, longer histories as well as greater financial resources, we believe we compete favorably and our product capabilities meet customer requirements due to our data-driven, omni-channel sales approach, our experienced digital sales force, and our overall customer satisfaction.</w:t>
      </w:r>
    </w:p>
    <w:p>
      <w:pPr>
        <w:spacing w:after="0" w:line="1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number of competitors in any given market varies; however all of the forms of competition noted above exist to some degree in all of our markets.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INITIATIVES</w:t>
      </w:r>
    </w:p>
    <w:p>
      <w:pPr>
        <w:spacing w:after="0" w:line="2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strategy emphasizes technology leadership through partnerships, products, and operational excellence. There are three pillars to our strategy: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Expand Our Audience with Compelling Local Content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Lee is committed to maintaining its leadership position as a trusted provider of local news and information by delivering best-in-class digital</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experiences. We focus on enhancing consumer engagement and growing audiences by offering relevant, useful, and engaging content through a multi-media approach that leverages AI and includes video, audio, and written content.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In 2025, we plan to make targeted investments to improve the user experience of our digital products, particularly on mobile platforms, and</w:t>
      </w:r>
    </w:p>
    <w:p>
      <w:pPr>
        <w:spacing w:after="0" w:line="14"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aim to personalize news and content that amplifies and extends our audiences. By recruiting top talent and leveraging data to enhance subscriber retention, we aim to provide our local consumers with trusted, high-quality content that drives digital audience growth and subscription conversions.</w:t>
      </w:r>
    </w:p>
    <w:p>
      <w:pPr>
        <w:spacing w:after="0" w:line="19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proprietary local content, presented on best-in-class multimedia platforms and augmented by new and engaging video channels, is designed to not only grow audiences but also increase monetization opportunities.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Accelerate Digital Subscription Growth</w:t>
      </w:r>
    </w:p>
    <w:p>
      <w:pPr>
        <w:spacing w:after="0" w:line="22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the fastest-growing local media digital subscription business, Media Company continues to achieve significant growth in digital-only subscribers. In 2024, digital-only subscriptions increased by 7%, reaching over 771,000 subscribers and offsetting declines in traditional full-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access subscriptions. More than 53% of our full-access subscribers have also activated their digital access.</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strategy includes leveraging data and analytics to target our extensive addressable market of 26 million unique visitors, converting them into digital subscribers. With these efforts, we aim to achieve substantial growth in digital-only subscribers, targeting over 1.2 million by 2028.</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This digital transformation is not only a strategic imperative but also an environmentally sustainable one. By shifting to digital platforms, we reduce energy consumption at production hubs, newsprint usage, and the environmental impact of fossil-fuel-driven distribution channels.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Diversify and Expand Offerings for Local Advertisers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advertising and marketing solutions provide a robust platform for local advertisers to achieve scale both within and beyond our markets.</w:t>
      </w:r>
    </w:p>
    <w:p>
      <w:pPr>
        <w:spacing w:after="0" w:line="225" w:lineRule="exact"/>
        <w:rPr>
          <w:sz w:val="20"/>
          <w:szCs w:val="20"/>
          <w:color w:val="auto"/>
        </w:rPr>
      </w:pPr>
    </w:p>
    <w:p>
      <w:pPr>
        <w:jc w:val="both"/>
        <w:ind w:left="660" w:hanging="328"/>
        <w:spacing w:after="0" w:line="245"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Amplified Digital Solutions</w:t>
      </w:r>
      <w:r>
        <w:rPr>
          <w:rFonts w:ascii="Arial" w:cs="Arial" w:eastAsia="Arial" w:hAnsi="Arial"/>
          <w:sz w:val="18"/>
          <w:szCs w:val="18"/>
          <w:color w:val="auto"/>
        </w:rPr>
        <w:t>: Through</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Amplified</w:t>
      </w:r>
      <w:r>
        <w:rPr>
          <w:rFonts w:ascii="Arial" w:cs="Arial" w:eastAsia="Arial" w:hAnsi="Arial"/>
          <w:sz w:val="18"/>
          <w:szCs w:val="18"/>
          <w:color w:val="auto"/>
        </w:rPr>
        <w:t>, our full-service digital agency, we create sophisticated campaigns on both our</w:t>
      </w:r>
      <w:r>
        <w:rPr>
          <w:rFonts w:ascii="Arial" w:cs="Arial" w:eastAsia="Arial" w:hAnsi="Arial"/>
          <w:sz w:val="18"/>
          <w:szCs w:val="18"/>
          <w:b w:val="1"/>
          <w:bCs w:val="1"/>
          <w:color w:val="auto"/>
        </w:rPr>
        <w:t xml:space="preserve"> </w:t>
      </w:r>
      <w:r>
        <w:rPr>
          <w:rFonts w:ascii="Arial" w:cs="Arial" w:eastAsia="Arial" w:hAnsi="Arial"/>
          <w:sz w:val="18"/>
          <w:szCs w:val="18"/>
          <w:color w:val="auto"/>
        </w:rPr>
        <w:t>owned-and-operated sites and third-party platforms. These campaigns use auction-based ad buying and are tailored to meet the specific needs and scale of each advertiser.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left="660" w:hanging="328"/>
        <w:spacing w:after="0" w:line="256" w:lineRule="auto"/>
        <w:tabs>
          <w:tab w:leader="none" w:pos="655"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Omni-Channel Sales Approach</w:t>
      </w:r>
      <w:r>
        <w:rPr>
          <w:rFonts w:ascii="Arial" w:cs="Arial" w:eastAsia="Arial" w:hAnsi="Arial"/>
          <w:sz w:val="18"/>
          <w:szCs w:val="18"/>
          <w:color w:val="auto"/>
        </w:rPr>
        <w:t>: Our highly skilled and digitally adept salesforce—the largest and most proficient in our markets—</w:t>
      </w:r>
      <w:r>
        <w:rPr>
          <w:rFonts w:ascii="Arial" w:cs="Arial" w:eastAsia="Arial" w:hAnsi="Arial"/>
          <w:sz w:val="18"/>
          <w:szCs w:val="18"/>
          <w:b w:val="1"/>
          <w:bCs w:val="1"/>
          <w:color w:val="auto"/>
        </w:rPr>
        <w:t xml:space="preserve"> </w:t>
      </w:r>
      <w:r>
        <w:rPr>
          <w:rFonts w:ascii="Arial" w:cs="Arial" w:eastAsia="Arial" w:hAnsi="Arial"/>
          <w:sz w:val="18"/>
          <w:szCs w:val="18"/>
          <w:color w:val="auto"/>
        </w:rPr>
        <w:t>works closely with local businesses to provide tailored advertising solutions.</w:t>
      </w:r>
    </w:p>
    <w:p>
      <w:pPr>
        <w:spacing w:after="0" w:line="192" w:lineRule="exact"/>
        <w:rPr>
          <w:rFonts w:ascii="Arial" w:cs="Arial" w:eastAsia="Arial" w:hAnsi="Arial"/>
          <w:sz w:val="18"/>
          <w:szCs w:val="18"/>
          <w:b w:val="1"/>
          <w:bCs w:val="1"/>
          <w:color w:val="auto"/>
        </w:rPr>
      </w:pPr>
    </w:p>
    <w:p>
      <w:pPr>
        <w:ind w:left="660" w:right="20" w:hanging="328"/>
        <w:spacing w:after="0" w:line="256"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Advanced Metrics and Collaboration</w:t>
      </w:r>
      <w:r>
        <w:rPr>
          <w:rFonts w:ascii="Arial" w:cs="Arial" w:eastAsia="Arial" w:hAnsi="Arial"/>
          <w:sz w:val="18"/>
          <w:szCs w:val="18"/>
          <w:color w:val="auto"/>
        </w:rPr>
        <w:t>: Collaborating with Google and other ad tech providers, we deliver advanced metrics and</w:t>
      </w:r>
      <w:r>
        <w:rPr>
          <w:rFonts w:ascii="Arial" w:cs="Arial" w:eastAsia="Arial" w:hAnsi="Arial"/>
          <w:sz w:val="18"/>
          <w:szCs w:val="18"/>
          <w:b w:val="1"/>
          <w:bCs w:val="1"/>
          <w:color w:val="auto"/>
        </w:rPr>
        <w:t xml:space="preserve"> </w:t>
      </w:r>
      <w:r>
        <w:rPr>
          <w:rFonts w:ascii="Arial" w:cs="Arial" w:eastAsia="Arial" w:hAnsi="Arial"/>
          <w:sz w:val="18"/>
          <w:szCs w:val="18"/>
          <w:color w:val="auto"/>
        </w:rPr>
        <w:t>analytics to ensure campaign effectiveness and ROI.</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NEWSPAPERS AND MARKETS</w:t>
      </w:r>
    </w:p>
    <w:p>
      <w:pPr>
        <w:spacing w:after="0" w:line="19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Company, including our investments in TNI Partners ("TNI") in Tucson, AZ and Madison Newspapers, Inc. ("MNI") in Madison, WI, publish the following daily newspapers and maintain the following primary digital 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2" w:lineRule="exact"/>
        <w:rPr>
          <w:sz w:val="20"/>
          <w:szCs w:val="20"/>
          <w:color w:val="auto"/>
        </w:rPr>
      </w:pPr>
    </w:p>
    <w:p>
      <w:pPr>
        <w:ind w:left="6500"/>
        <w:spacing w:after="0"/>
        <w:tabs>
          <w:tab w:leader="none" w:pos="8400" w:val="left"/>
        </w:tabs>
        <w:rPr>
          <w:sz w:val="20"/>
          <w:szCs w:val="20"/>
          <w:color w:val="auto"/>
        </w:rPr>
      </w:pPr>
      <w:r>
        <w:rPr>
          <w:rFonts w:ascii="Arial" w:cs="Arial" w:eastAsia="Arial" w:hAnsi="Arial"/>
          <w:sz w:val="14"/>
          <w:szCs w:val="14"/>
          <w:b w:val="1"/>
          <w:bCs w:val="1"/>
          <w:i w:val="1"/>
          <w:iCs w:val="1"/>
          <w:color w:val="auto"/>
        </w:rPr>
        <w:t>September 2024 (3)</w:t>
      </w:r>
      <w:r>
        <w:rPr>
          <w:sz w:val="20"/>
          <w:szCs w:val="20"/>
          <w:color w:val="auto"/>
        </w:rPr>
        <w:tab/>
      </w:r>
      <w:r>
        <w:rPr>
          <w:rFonts w:ascii="Arial" w:cs="Arial" w:eastAsia="Arial" w:hAnsi="Arial"/>
          <w:sz w:val="14"/>
          <w:szCs w:val="14"/>
          <w:b w:val="1"/>
          <w:bCs w:val="1"/>
          <w:i w:val="1"/>
          <w:iCs w:val="1"/>
          <w:color w:val="auto"/>
        </w:rPr>
        <w:t>2024 Monthly Average ('000s)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ind w:left="20"/>
              <w:spacing w:after="0"/>
              <w:rPr>
                <w:sz w:val="20"/>
                <w:szCs w:val="20"/>
                <w:color w:val="auto"/>
              </w:rPr>
            </w:pPr>
            <w:r>
              <w:rPr>
                <w:rFonts w:ascii="Arial" w:cs="Arial" w:eastAsia="Arial" w:hAnsi="Arial"/>
                <w:sz w:val="18"/>
                <w:szCs w:val="18"/>
                <w:b w:val="1"/>
                <w:bCs w:val="1"/>
                <w:color w:val="auto"/>
              </w:rPr>
              <w:t>Newspaper</w:t>
            </w:r>
          </w:p>
        </w:tc>
        <w:tc>
          <w:tcPr>
            <w:tcW w:w="2100" w:type="dxa"/>
            <w:vAlign w:val="bottom"/>
          </w:tcPr>
          <w:p>
            <w:pPr>
              <w:ind w:left="360"/>
              <w:spacing w:after="0"/>
              <w:rPr>
                <w:sz w:val="20"/>
                <w:szCs w:val="20"/>
                <w:color w:val="auto"/>
              </w:rPr>
            </w:pPr>
            <w:r>
              <w:rPr>
                <w:rFonts w:ascii="Arial" w:cs="Arial" w:eastAsia="Arial" w:hAnsi="Arial"/>
                <w:sz w:val="18"/>
                <w:szCs w:val="18"/>
                <w:b w:val="1"/>
                <w:bCs w:val="1"/>
                <w:color w:val="auto"/>
              </w:rPr>
              <w:t>Primary Website</w:t>
            </w:r>
          </w:p>
        </w:tc>
        <w:tc>
          <w:tcPr>
            <w:tcW w:w="2020" w:type="dxa"/>
            <w:vAlign w:val="bottom"/>
          </w:tcPr>
          <w:p>
            <w:pPr>
              <w:ind w:left="280"/>
              <w:spacing w:after="0"/>
              <w:rPr>
                <w:sz w:val="20"/>
                <w:szCs w:val="20"/>
                <w:color w:val="auto"/>
              </w:rPr>
            </w:pPr>
            <w:r>
              <w:rPr>
                <w:rFonts w:ascii="Arial" w:cs="Arial" w:eastAsia="Arial" w:hAnsi="Arial"/>
                <w:sz w:val="18"/>
                <w:szCs w:val="18"/>
                <w:b w:val="1"/>
                <w:bCs w:val="1"/>
                <w:color w:val="auto"/>
              </w:rPr>
              <w:t>Location</w:t>
            </w:r>
          </w:p>
        </w:tc>
        <w:tc>
          <w:tcPr>
            <w:tcW w:w="1780" w:type="dxa"/>
            <w:vAlign w:val="bottom"/>
          </w:tcPr>
          <w:p>
            <w:pPr>
              <w:ind w:left="160"/>
              <w:spacing w:after="0"/>
              <w:rPr>
                <w:sz w:val="20"/>
                <w:szCs w:val="20"/>
                <w:color w:val="auto"/>
              </w:rPr>
            </w:pPr>
            <w:r>
              <w:rPr>
                <w:rFonts w:ascii="Arial" w:cs="Arial" w:eastAsia="Arial" w:hAnsi="Arial"/>
                <w:sz w:val="18"/>
                <w:szCs w:val="18"/>
                <w:b w:val="1"/>
                <w:bCs w:val="1"/>
                <w:color w:val="auto"/>
              </w:rPr>
              <w:t>Digital &amp; Print</w:t>
            </w:r>
          </w:p>
        </w:tc>
        <w:tc>
          <w:tcPr>
            <w:tcW w:w="3120" w:type="dxa"/>
            <w:vAlign w:val="bottom"/>
            <w:gridSpan w:val="2"/>
          </w:tcPr>
          <w:p>
            <w:pPr>
              <w:ind w:left="300"/>
              <w:spacing w:after="0"/>
              <w:rPr>
                <w:sz w:val="20"/>
                <w:szCs w:val="20"/>
                <w:color w:val="auto"/>
              </w:rPr>
            </w:pPr>
            <w:r>
              <w:rPr>
                <w:rFonts w:ascii="Arial" w:cs="Arial" w:eastAsia="Arial" w:hAnsi="Arial"/>
                <w:sz w:val="18"/>
                <w:szCs w:val="18"/>
                <w:b w:val="1"/>
                <w:bCs w:val="1"/>
                <w:color w:val="auto"/>
              </w:rPr>
              <w:t>Unique Visitors Page Views</w:t>
            </w:r>
          </w:p>
        </w:tc>
      </w:tr>
      <w:tr>
        <w:trPr>
          <w:trHeight w:val="255"/>
        </w:trPr>
        <w:tc>
          <w:tcPr>
            <w:tcW w:w="222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Subscribers (4)</w:t>
            </w:r>
          </w:p>
        </w:tc>
        <w:tc>
          <w:tcPr>
            <w:tcW w:w="124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spacing w:after="0"/>
              <w:rPr>
                <w:sz w:val="22"/>
                <w:szCs w:val="22"/>
                <w:color w:val="auto"/>
              </w:rPr>
            </w:pPr>
          </w:p>
        </w:tc>
      </w:tr>
      <w:tr>
        <w:trPr>
          <w:trHeight w:val="243"/>
        </w:trPr>
        <w:tc>
          <w:tcPr>
            <w:tcW w:w="22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03"/>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 Louis Post-Dispatch</w:t>
            </w:r>
          </w:p>
        </w:tc>
        <w:tc>
          <w:tcPr>
            <w:tcW w:w="21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stltoday.com</w:t>
            </w:r>
          </w:p>
        </w:tc>
        <w:tc>
          <w:tcPr>
            <w:tcW w:w="2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 Louis, MO</w:t>
            </w:r>
          </w:p>
        </w:tc>
        <w:tc>
          <w:tcPr>
            <w:tcW w:w="17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87,358</w:t>
            </w:r>
          </w:p>
        </w:tc>
        <w:tc>
          <w:tcPr>
            <w:tcW w:w="12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2,642</w:t>
            </w:r>
          </w:p>
        </w:tc>
        <w:tc>
          <w:tcPr>
            <w:tcW w:w="18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21,952</w:t>
            </w:r>
          </w:p>
        </w:tc>
      </w:tr>
      <w:tr>
        <w:trPr>
          <w:trHeight w:val="198"/>
        </w:trPr>
        <w:tc>
          <w:tcPr>
            <w:tcW w:w="2220" w:type="dxa"/>
            <w:vAlign w:val="bottom"/>
          </w:tcPr>
          <w:p>
            <w:pPr>
              <w:ind w:left="20"/>
              <w:spacing w:after="0"/>
              <w:rPr>
                <w:sz w:val="20"/>
                <w:szCs w:val="20"/>
                <w:color w:val="auto"/>
              </w:rPr>
            </w:pPr>
            <w:r>
              <w:rPr>
                <w:rFonts w:ascii="Arial" w:cs="Arial" w:eastAsia="Arial" w:hAnsi="Arial"/>
                <w:sz w:val="14"/>
                <w:szCs w:val="14"/>
                <w:color w:val="auto"/>
              </w:rPr>
              <w:t>Buffalo News</w:t>
            </w:r>
          </w:p>
        </w:tc>
        <w:tc>
          <w:tcPr>
            <w:tcW w:w="2100" w:type="dxa"/>
            <w:vAlign w:val="bottom"/>
          </w:tcPr>
          <w:p>
            <w:pPr>
              <w:ind w:left="360"/>
              <w:spacing w:after="0"/>
              <w:rPr>
                <w:sz w:val="20"/>
                <w:szCs w:val="20"/>
                <w:color w:val="auto"/>
              </w:rPr>
            </w:pPr>
            <w:r>
              <w:rPr>
                <w:rFonts w:ascii="Arial" w:cs="Arial" w:eastAsia="Arial" w:hAnsi="Arial"/>
                <w:sz w:val="14"/>
                <w:szCs w:val="14"/>
                <w:color w:val="auto"/>
              </w:rPr>
              <w:t>buffalonews.com</w:t>
            </w:r>
          </w:p>
        </w:tc>
        <w:tc>
          <w:tcPr>
            <w:tcW w:w="2020" w:type="dxa"/>
            <w:vAlign w:val="bottom"/>
          </w:tcPr>
          <w:p>
            <w:pPr>
              <w:ind w:left="280"/>
              <w:spacing w:after="0"/>
              <w:rPr>
                <w:sz w:val="20"/>
                <w:szCs w:val="20"/>
                <w:color w:val="auto"/>
              </w:rPr>
            </w:pPr>
            <w:r>
              <w:rPr>
                <w:rFonts w:ascii="Arial" w:cs="Arial" w:eastAsia="Arial" w:hAnsi="Arial"/>
                <w:sz w:val="14"/>
                <w:szCs w:val="14"/>
                <w:color w:val="auto"/>
              </w:rPr>
              <w:t>Buffalo, NY</w:t>
            </w:r>
          </w:p>
        </w:tc>
        <w:tc>
          <w:tcPr>
            <w:tcW w:w="1780" w:type="dxa"/>
            <w:vAlign w:val="bottom"/>
          </w:tcPr>
          <w:p>
            <w:pPr>
              <w:ind w:left="160"/>
              <w:spacing w:after="0"/>
              <w:rPr>
                <w:sz w:val="20"/>
                <w:szCs w:val="20"/>
                <w:color w:val="auto"/>
              </w:rPr>
            </w:pPr>
            <w:r>
              <w:rPr>
                <w:rFonts w:ascii="Arial" w:cs="Arial" w:eastAsia="Arial" w:hAnsi="Arial"/>
                <w:sz w:val="14"/>
                <w:szCs w:val="14"/>
                <w:color w:val="auto"/>
              </w:rPr>
              <w:t>78,433</w:t>
            </w:r>
          </w:p>
        </w:tc>
        <w:tc>
          <w:tcPr>
            <w:tcW w:w="1240" w:type="dxa"/>
            <w:vAlign w:val="bottom"/>
          </w:tcPr>
          <w:p>
            <w:pPr>
              <w:ind w:left="300"/>
              <w:spacing w:after="0"/>
              <w:rPr>
                <w:sz w:val="20"/>
                <w:szCs w:val="20"/>
                <w:color w:val="auto"/>
              </w:rPr>
            </w:pPr>
            <w:r>
              <w:rPr>
                <w:rFonts w:ascii="Arial" w:cs="Arial" w:eastAsia="Arial" w:hAnsi="Arial"/>
                <w:sz w:val="14"/>
                <w:szCs w:val="14"/>
                <w:color w:val="auto"/>
              </w:rPr>
              <w:t>1,679</w:t>
            </w:r>
          </w:p>
        </w:tc>
        <w:tc>
          <w:tcPr>
            <w:tcW w:w="1880" w:type="dxa"/>
            <w:vAlign w:val="bottom"/>
          </w:tcPr>
          <w:p>
            <w:pPr>
              <w:ind w:left="480"/>
              <w:spacing w:after="0"/>
              <w:rPr>
                <w:sz w:val="20"/>
                <w:szCs w:val="20"/>
                <w:color w:val="auto"/>
              </w:rPr>
            </w:pPr>
            <w:r>
              <w:rPr>
                <w:rFonts w:ascii="Arial" w:cs="Arial" w:eastAsia="Arial" w:hAnsi="Arial"/>
                <w:sz w:val="14"/>
                <w:szCs w:val="14"/>
                <w:color w:val="auto"/>
              </w:rPr>
              <w:t>22,154</w:t>
            </w:r>
          </w:p>
        </w:tc>
      </w:tr>
      <w:tr>
        <w:trPr>
          <w:trHeight w:val="207"/>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Tulsa World</w:t>
            </w:r>
          </w:p>
        </w:tc>
        <w:tc>
          <w:tcPr>
            <w:tcW w:w="21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tulsaworld.com</w:t>
            </w:r>
          </w:p>
        </w:tc>
        <w:tc>
          <w:tcPr>
            <w:tcW w:w="2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Tulsa, OK</w:t>
            </w:r>
          </w:p>
        </w:tc>
        <w:tc>
          <w:tcPr>
            <w:tcW w:w="17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64,352</w:t>
            </w:r>
          </w:p>
        </w:tc>
        <w:tc>
          <w:tcPr>
            <w:tcW w:w="12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958</w:t>
            </w:r>
          </w:p>
        </w:tc>
        <w:tc>
          <w:tcPr>
            <w:tcW w:w="18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7,988</w:t>
            </w:r>
          </w:p>
        </w:tc>
      </w:tr>
      <w:tr>
        <w:trPr>
          <w:trHeight w:val="198"/>
        </w:trPr>
        <w:tc>
          <w:tcPr>
            <w:tcW w:w="2220" w:type="dxa"/>
            <w:vAlign w:val="bottom"/>
          </w:tcPr>
          <w:p>
            <w:pPr>
              <w:ind w:left="20"/>
              <w:spacing w:after="0"/>
              <w:rPr>
                <w:sz w:val="20"/>
                <w:szCs w:val="20"/>
                <w:color w:val="auto"/>
              </w:rPr>
            </w:pPr>
            <w:r>
              <w:rPr>
                <w:rFonts w:ascii="Arial" w:cs="Arial" w:eastAsia="Arial" w:hAnsi="Arial"/>
                <w:sz w:val="14"/>
                <w:szCs w:val="14"/>
                <w:color w:val="auto"/>
              </w:rPr>
              <w:t>Omaha World Herald</w:t>
            </w:r>
          </w:p>
        </w:tc>
        <w:tc>
          <w:tcPr>
            <w:tcW w:w="2100" w:type="dxa"/>
            <w:vAlign w:val="bottom"/>
          </w:tcPr>
          <w:p>
            <w:pPr>
              <w:ind w:left="360"/>
              <w:spacing w:after="0"/>
              <w:rPr>
                <w:sz w:val="20"/>
                <w:szCs w:val="20"/>
                <w:color w:val="auto"/>
              </w:rPr>
            </w:pPr>
            <w:r>
              <w:rPr>
                <w:rFonts w:ascii="Arial" w:cs="Arial" w:eastAsia="Arial" w:hAnsi="Arial"/>
                <w:sz w:val="14"/>
                <w:szCs w:val="14"/>
                <w:color w:val="auto"/>
              </w:rPr>
              <w:t>omaha.com</w:t>
            </w:r>
          </w:p>
        </w:tc>
        <w:tc>
          <w:tcPr>
            <w:tcW w:w="2020" w:type="dxa"/>
            <w:vAlign w:val="bottom"/>
          </w:tcPr>
          <w:p>
            <w:pPr>
              <w:ind w:left="280"/>
              <w:spacing w:after="0"/>
              <w:rPr>
                <w:sz w:val="20"/>
                <w:szCs w:val="20"/>
                <w:color w:val="auto"/>
              </w:rPr>
            </w:pPr>
            <w:r>
              <w:rPr>
                <w:rFonts w:ascii="Arial" w:cs="Arial" w:eastAsia="Arial" w:hAnsi="Arial"/>
                <w:sz w:val="14"/>
                <w:szCs w:val="14"/>
                <w:color w:val="auto"/>
              </w:rPr>
              <w:t>Omaha, NE</w:t>
            </w:r>
          </w:p>
        </w:tc>
        <w:tc>
          <w:tcPr>
            <w:tcW w:w="1780" w:type="dxa"/>
            <w:vAlign w:val="bottom"/>
          </w:tcPr>
          <w:p>
            <w:pPr>
              <w:ind w:left="160"/>
              <w:spacing w:after="0"/>
              <w:rPr>
                <w:sz w:val="20"/>
                <w:szCs w:val="20"/>
                <w:color w:val="auto"/>
              </w:rPr>
            </w:pPr>
            <w:r>
              <w:rPr>
                <w:rFonts w:ascii="Arial" w:cs="Arial" w:eastAsia="Arial" w:hAnsi="Arial"/>
                <w:sz w:val="14"/>
                <w:szCs w:val="14"/>
                <w:color w:val="auto"/>
              </w:rPr>
              <w:t>62,498</w:t>
            </w:r>
          </w:p>
        </w:tc>
        <w:tc>
          <w:tcPr>
            <w:tcW w:w="1240" w:type="dxa"/>
            <w:vAlign w:val="bottom"/>
          </w:tcPr>
          <w:p>
            <w:pPr>
              <w:ind w:left="300"/>
              <w:spacing w:after="0"/>
              <w:rPr>
                <w:sz w:val="20"/>
                <w:szCs w:val="20"/>
                <w:color w:val="auto"/>
              </w:rPr>
            </w:pPr>
            <w:r>
              <w:rPr>
                <w:rFonts w:ascii="Arial" w:cs="Arial" w:eastAsia="Arial" w:hAnsi="Arial"/>
                <w:sz w:val="14"/>
                <w:szCs w:val="14"/>
                <w:color w:val="auto"/>
              </w:rPr>
              <w:t>1,356</w:t>
            </w:r>
          </w:p>
        </w:tc>
        <w:tc>
          <w:tcPr>
            <w:tcW w:w="1880" w:type="dxa"/>
            <w:vAlign w:val="bottom"/>
          </w:tcPr>
          <w:p>
            <w:pPr>
              <w:ind w:left="480"/>
              <w:spacing w:after="0"/>
              <w:rPr>
                <w:sz w:val="20"/>
                <w:szCs w:val="20"/>
                <w:color w:val="auto"/>
              </w:rPr>
            </w:pPr>
            <w:r>
              <w:rPr>
                <w:rFonts w:ascii="Arial" w:cs="Arial" w:eastAsia="Arial" w:hAnsi="Arial"/>
                <w:sz w:val="14"/>
                <w:szCs w:val="14"/>
                <w:color w:val="auto"/>
              </w:rPr>
              <w:t>16,391</w:t>
            </w:r>
          </w:p>
        </w:tc>
      </w:tr>
      <w:tr>
        <w:trPr>
          <w:trHeight w:val="207"/>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Wisconsin State Journal (1)</w:t>
            </w:r>
          </w:p>
        </w:tc>
        <w:tc>
          <w:tcPr>
            <w:tcW w:w="21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madison.com</w:t>
            </w:r>
          </w:p>
        </w:tc>
        <w:tc>
          <w:tcPr>
            <w:tcW w:w="2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Madison, WI</w:t>
            </w:r>
          </w:p>
        </w:tc>
        <w:tc>
          <w:tcPr>
            <w:tcW w:w="17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58,758</w:t>
            </w:r>
          </w:p>
        </w:tc>
        <w:tc>
          <w:tcPr>
            <w:tcW w:w="12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1,294</w:t>
            </w:r>
          </w:p>
        </w:tc>
        <w:tc>
          <w:tcPr>
            <w:tcW w:w="18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13,255</w:t>
            </w:r>
          </w:p>
        </w:tc>
      </w:tr>
      <w:tr>
        <w:trPr>
          <w:trHeight w:val="198"/>
        </w:trPr>
        <w:tc>
          <w:tcPr>
            <w:tcW w:w="2220" w:type="dxa"/>
            <w:vAlign w:val="bottom"/>
          </w:tcPr>
          <w:p>
            <w:pPr>
              <w:ind w:left="20"/>
              <w:spacing w:after="0"/>
              <w:rPr>
                <w:sz w:val="20"/>
                <w:szCs w:val="20"/>
                <w:color w:val="auto"/>
              </w:rPr>
            </w:pPr>
            <w:r>
              <w:rPr>
                <w:rFonts w:ascii="Arial" w:cs="Arial" w:eastAsia="Arial" w:hAnsi="Arial"/>
                <w:sz w:val="14"/>
                <w:szCs w:val="14"/>
                <w:color w:val="auto"/>
              </w:rPr>
              <w:t>Richmond Times-Dispatch</w:t>
            </w:r>
          </w:p>
        </w:tc>
        <w:tc>
          <w:tcPr>
            <w:tcW w:w="2100" w:type="dxa"/>
            <w:vAlign w:val="bottom"/>
          </w:tcPr>
          <w:p>
            <w:pPr>
              <w:ind w:left="360"/>
              <w:spacing w:after="0"/>
              <w:rPr>
                <w:sz w:val="20"/>
                <w:szCs w:val="20"/>
                <w:color w:val="auto"/>
              </w:rPr>
            </w:pPr>
            <w:r>
              <w:rPr>
                <w:rFonts w:ascii="Arial" w:cs="Arial" w:eastAsia="Arial" w:hAnsi="Arial"/>
                <w:sz w:val="14"/>
                <w:szCs w:val="14"/>
                <w:color w:val="auto"/>
              </w:rPr>
              <w:t>richmond.com</w:t>
            </w:r>
          </w:p>
        </w:tc>
        <w:tc>
          <w:tcPr>
            <w:tcW w:w="2020" w:type="dxa"/>
            <w:vAlign w:val="bottom"/>
          </w:tcPr>
          <w:p>
            <w:pPr>
              <w:ind w:left="280"/>
              <w:spacing w:after="0"/>
              <w:rPr>
                <w:sz w:val="20"/>
                <w:szCs w:val="20"/>
                <w:color w:val="auto"/>
              </w:rPr>
            </w:pPr>
            <w:r>
              <w:rPr>
                <w:rFonts w:ascii="Arial" w:cs="Arial" w:eastAsia="Arial" w:hAnsi="Arial"/>
                <w:sz w:val="14"/>
                <w:szCs w:val="14"/>
                <w:color w:val="auto"/>
              </w:rPr>
              <w:t>Richmond, VA</w:t>
            </w:r>
          </w:p>
        </w:tc>
        <w:tc>
          <w:tcPr>
            <w:tcW w:w="1780" w:type="dxa"/>
            <w:vAlign w:val="bottom"/>
          </w:tcPr>
          <w:p>
            <w:pPr>
              <w:ind w:left="160"/>
              <w:spacing w:after="0"/>
              <w:rPr>
                <w:sz w:val="20"/>
                <w:szCs w:val="20"/>
                <w:color w:val="auto"/>
              </w:rPr>
            </w:pPr>
            <w:r>
              <w:rPr>
                <w:rFonts w:ascii="Arial" w:cs="Arial" w:eastAsia="Arial" w:hAnsi="Arial"/>
                <w:sz w:val="14"/>
                <w:szCs w:val="14"/>
                <w:color w:val="auto"/>
              </w:rPr>
              <w:t>46,896</w:t>
            </w:r>
          </w:p>
        </w:tc>
        <w:tc>
          <w:tcPr>
            <w:tcW w:w="1240" w:type="dxa"/>
            <w:vAlign w:val="bottom"/>
          </w:tcPr>
          <w:p>
            <w:pPr>
              <w:ind w:left="300"/>
              <w:spacing w:after="0"/>
              <w:rPr>
                <w:sz w:val="20"/>
                <w:szCs w:val="20"/>
                <w:color w:val="auto"/>
              </w:rPr>
            </w:pPr>
            <w:r>
              <w:rPr>
                <w:rFonts w:ascii="Arial" w:cs="Arial" w:eastAsia="Arial" w:hAnsi="Arial"/>
                <w:sz w:val="14"/>
                <w:szCs w:val="14"/>
                <w:color w:val="auto"/>
              </w:rPr>
              <w:t>970</w:t>
            </w:r>
          </w:p>
        </w:tc>
        <w:tc>
          <w:tcPr>
            <w:tcW w:w="1880" w:type="dxa"/>
            <w:vAlign w:val="bottom"/>
          </w:tcPr>
          <w:p>
            <w:pPr>
              <w:ind w:left="480"/>
              <w:spacing w:after="0"/>
              <w:rPr>
                <w:sz w:val="20"/>
                <w:szCs w:val="20"/>
                <w:color w:val="auto"/>
              </w:rPr>
            </w:pPr>
            <w:r>
              <w:rPr>
                <w:rFonts w:ascii="Arial" w:cs="Arial" w:eastAsia="Arial" w:hAnsi="Arial"/>
                <w:sz w:val="14"/>
                <w:szCs w:val="14"/>
                <w:color w:val="auto"/>
              </w:rPr>
              <w:t>10,530</w:t>
            </w:r>
          </w:p>
        </w:tc>
      </w:tr>
      <w:tr>
        <w:trPr>
          <w:trHeight w:val="207"/>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Arizona Daily Star (2)</w:t>
            </w:r>
          </w:p>
        </w:tc>
        <w:tc>
          <w:tcPr>
            <w:tcW w:w="21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azstarnet.com</w:t>
            </w:r>
          </w:p>
        </w:tc>
        <w:tc>
          <w:tcPr>
            <w:tcW w:w="2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Tucson, AZ</w:t>
            </w:r>
          </w:p>
        </w:tc>
        <w:tc>
          <w:tcPr>
            <w:tcW w:w="17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42,980</w:t>
            </w:r>
          </w:p>
        </w:tc>
        <w:tc>
          <w:tcPr>
            <w:tcW w:w="12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1,179</w:t>
            </w:r>
          </w:p>
        </w:tc>
        <w:tc>
          <w:tcPr>
            <w:tcW w:w="18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2,977</w:t>
            </w:r>
          </w:p>
        </w:tc>
      </w:tr>
      <w:tr>
        <w:trPr>
          <w:trHeight w:val="153"/>
        </w:trPr>
        <w:tc>
          <w:tcPr>
            <w:tcW w:w="2220" w:type="dxa"/>
            <w:vAlign w:val="bottom"/>
          </w:tcPr>
          <w:p>
            <w:pPr>
              <w:ind w:left="20"/>
              <w:spacing w:after="0" w:line="153" w:lineRule="exact"/>
              <w:rPr>
                <w:sz w:val="20"/>
                <w:szCs w:val="20"/>
                <w:color w:val="auto"/>
              </w:rPr>
            </w:pPr>
            <w:r>
              <w:rPr>
                <w:rFonts w:ascii="Arial" w:cs="Arial" w:eastAsia="Arial" w:hAnsi="Arial"/>
                <w:sz w:val="14"/>
                <w:szCs w:val="14"/>
                <w:color w:val="auto"/>
              </w:rPr>
              <w:t>The Times</w:t>
            </w:r>
          </w:p>
        </w:tc>
        <w:tc>
          <w:tcPr>
            <w:tcW w:w="2100" w:type="dxa"/>
            <w:vAlign w:val="bottom"/>
          </w:tcPr>
          <w:p>
            <w:pPr>
              <w:ind w:left="360"/>
              <w:spacing w:after="0" w:line="153" w:lineRule="exact"/>
              <w:rPr>
                <w:sz w:val="20"/>
                <w:szCs w:val="20"/>
                <w:color w:val="auto"/>
              </w:rPr>
            </w:pPr>
            <w:r>
              <w:rPr>
                <w:rFonts w:ascii="Arial" w:cs="Arial" w:eastAsia="Arial" w:hAnsi="Arial"/>
                <w:sz w:val="14"/>
                <w:szCs w:val="14"/>
                <w:color w:val="auto"/>
              </w:rPr>
              <w:t>nwitimes.com</w:t>
            </w:r>
          </w:p>
        </w:tc>
        <w:tc>
          <w:tcPr>
            <w:tcW w:w="2020" w:type="dxa"/>
            <w:vAlign w:val="bottom"/>
          </w:tcPr>
          <w:p>
            <w:pPr>
              <w:ind w:left="280"/>
              <w:spacing w:after="0" w:line="153" w:lineRule="exact"/>
              <w:rPr>
                <w:sz w:val="20"/>
                <w:szCs w:val="20"/>
                <w:color w:val="auto"/>
              </w:rPr>
            </w:pPr>
            <w:r>
              <w:rPr>
                <w:rFonts w:ascii="Arial" w:cs="Arial" w:eastAsia="Arial" w:hAnsi="Arial"/>
                <w:sz w:val="14"/>
                <w:szCs w:val="14"/>
                <w:color w:val="auto"/>
              </w:rPr>
              <w:t>Munster, Valparaiso, and</w:t>
            </w:r>
          </w:p>
        </w:tc>
        <w:tc>
          <w:tcPr>
            <w:tcW w:w="1780" w:type="dxa"/>
            <w:vAlign w:val="bottom"/>
          </w:tcPr>
          <w:p>
            <w:pPr>
              <w:ind w:left="160"/>
              <w:spacing w:after="0" w:line="153" w:lineRule="exact"/>
              <w:rPr>
                <w:sz w:val="20"/>
                <w:szCs w:val="20"/>
                <w:color w:val="auto"/>
              </w:rPr>
            </w:pPr>
            <w:r>
              <w:rPr>
                <w:rFonts w:ascii="Arial" w:cs="Arial" w:eastAsia="Arial" w:hAnsi="Arial"/>
                <w:sz w:val="14"/>
                <w:szCs w:val="14"/>
                <w:color w:val="auto"/>
              </w:rPr>
              <w:t>40,311</w:t>
            </w:r>
          </w:p>
        </w:tc>
        <w:tc>
          <w:tcPr>
            <w:tcW w:w="1240" w:type="dxa"/>
            <w:vAlign w:val="bottom"/>
          </w:tcPr>
          <w:p>
            <w:pPr>
              <w:ind w:left="300"/>
              <w:spacing w:after="0" w:line="153" w:lineRule="exact"/>
              <w:rPr>
                <w:sz w:val="20"/>
                <w:szCs w:val="20"/>
                <w:color w:val="auto"/>
              </w:rPr>
            </w:pPr>
            <w:r>
              <w:rPr>
                <w:rFonts w:ascii="Arial" w:cs="Arial" w:eastAsia="Arial" w:hAnsi="Arial"/>
                <w:sz w:val="14"/>
                <w:szCs w:val="14"/>
                <w:color w:val="auto"/>
              </w:rPr>
              <w:t>832</w:t>
            </w:r>
          </w:p>
        </w:tc>
        <w:tc>
          <w:tcPr>
            <w:tcW w:w="1880" w:type="dxa"/>
            <w:vAlign w:val="bottom"/>
          </w:tcPr>
          <w:p>
            <w:pPr>
              <w:ind w:left="480"/>
              <w:spacing w:after="0" w:line="153" w:lineRule="exact"/>
              <w:rPr>
                <w:sz w:val="20"/>
                <w:szCs w:val="20"/>
                <w:color w:val="auto"/>
              </w:rPr>
            </w:pPr>
            <w:r>
              <w:rPr>
                <w:rFonts w:ascii="Arial" w:cs="Arial" w:eastAsia="Arial" w:hAnsi="Arial"/>
                <w:sz w:val="14"/>
                <w:szCs w:val="14"/>
                <w:color w:val="auto"/>
              </w:rPr>
              <w:t>7,237</w:t>
            </w:r>
          </w:p>
        </w:tc>
      </w:tr>
      <w:tr>
        <w:trPr>
          <w:trHeight w:val="185"/>
        </w:trPr>
        <w:tc>
          <w:tcPr>
            <w:tcW w:w="22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020" w:type="dxa"/>
            <w:vAlign w:val="bottom"/>
          </w:tcPr>
          <w:p>
            <w:pPr>
              <w:ind w:left="280"/>
              <w:spacing w:after="0"/>
              <w:rPr>
                <w:sz w:val="20"/>
                <w:szCs w:val="20"/>
                <w:color w:val="auto"/>
              </w:rPr>
            </w:pPr>
            <w:r>
              <w:rPr>
                <w:rFonts w:ascii="Arial" w:cs="Arial" w:eastAsia="Arial" w:hAnsi="Arial"/>
                <w:sz w:val="14"/>
                <w:szCs w:val="14"/>
                <w:color w:val="auto"/>
              </w:rPr>
              <w:t>Crown Point, IN</w:t>
            </w:r>
          </w:p>
        </w:tc>
        <w:tc>
          <w:tcPr>
            <w:tcW w:w="17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203"/>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Billings Gazette</w:t>
            </w:r>
          </w:p>
        </w:tc>
        <w:tc>
          <w:tcPr>
            <w:tcW w:w="21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billingsgazette.com</w:t>
            </w:r>
          </w:p>
        </w:tc>
        <w:tc>
          <w:tcPr>
            <w:tcW w:w="2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Billings, MT</w:t>
            </w:r>
          </w:p>
        </w:tc>
        <w:tc>
          <w:tcPr>
            <w:tcW w:w="17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35,849</w:t>
            </w:r>
          </w:p>
        </w:tc>
        <w:tc>
          <w:tcPr>
            <w:tcW w:w="12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665</w:t>
            </w:r>
          </w:p>
        </w:tc>
        <w:tc>
          <w:tcPr>
            <w:tcW w:w="18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5,966</w:t>
            </w:r>
          </w:p>
        </w:tc>
      </w:tr>
      <w:tr>
        <w:trPr>
          <w:trHeight w:val="198"/>
        </w:trPr>
        <w:tc>
          <w:tcPr>
            <w:tcW w:w="2220" w:type="dxa"/>
            <w:vAlign w:val="bottom"/>
          </w:tcPr>
          <w:p>
            <w:pPr>
              <w:ind w:left="20"/>
              <w:spacing w:after="0"/>
              <w:rPr>
                <w:sz w:val="20"/>
                <w:szCs w:val="20"/>
                <w:color w:val="auto"/>
              </w:rPr>
            </w:pPr>
            <w:r>
              <w:rPr>
                <w:rFonts w:ascii="Arial" w:cs="Arial" w:eastAsia="Arial" w:hAnsi="Arial"/>
                <w:sz w:val="14"/>
                <w:szCs w:val="14"/>
                <w:color w:val="auto"/>
              </w:rPr>
              <w:t>Lincoln Journal Star</w:t>
            </w:r>
          </w:p>
        </w:tc>
        <w:tc>
          <w:tcPr>
            <w:tcW w:w="2100" w:type="dxa"/>
            <w:vAlign w:val="bottom"/>
          </w:tcPr>
          <w:p>
            <w:pPr>
              <w:ind w:left="360"/>
              <w:spacing w:after="0"/>
              <w:rPr>
                <w:sz w:val="20"/>
                <w:szCs w:val="20"/>
                <w:color w:val="auto"/>
              </w:rPr>
            </w:pPr>
            <w:r>
              <w:rPr>
                <w:rFonts w:ascii="Arial" w:cs="Arial" w:eastAsia="Arial" w:hAnsi="Arial"/>
                <w:sz w:val="14"/>
                <w:szCs w:val="14"/>
                <w:color w:val="auto"/>
              </w:rPr>
              <w:t>journalstar.com</w:t>
            </w:r>
          </w:p>
        </w:tc>
        <w:tc>
          <w:tcPr>
            <w:tcW w:w="2020" w:type="dxa"/>
            <w:vAlign w:val="bottom"/>
          </w:tcPr>
          <w:p>
            <w:pPr>
              <w:ind w:left="280"/>
              <w:spacing w:after="0"/>
              <w:rPr>
                <w:sz w:val="20"/>
                <w:szCs w:val="20"/>
                <w:color w:val="auto"/>
              </w:rPr>
            </w:pPr>
            <w:r>
              <w:rPr>
                <w:rFonts w:ascii="Arial" w:cs="Arial" w:eastAsia="Arial" w:hAnsi="Arial"/>
                <w:sz w:val="14"/>
                <w:szCs w:val="14"/>
                <w:color w:val="auto"/>
              </w:rPr>
              <w:t>Lincoln, NE</w:t>
            </w:r>
          </w:p>
        </w:tc>
        <w:tc>
          <w:tcPr>
            <w:tcW w:w="1780" w:type="dxa"/>
            <w:vAlign w:val="bottom"/>
          </w:tcPr>
          <w:p>
            <w:pPr>
              <w:ind w:left="160"/>
              <w:spacing w:after="0"/>
              <w:rPr>
                <w:sz w:val="20"/>
                <w:szCs w:val="20"/>
                <w:color w:val="auto"/>
              </w:rPr>
            </w:pPr>
            <w:r>
              <w:rPr>
                <w:rFonts w:ascii="Arial" w:cs="Arial" w:eastAsia="Arial" w:hAnsi="Arial"/>
                <w:sz w:val="14"/>
                <w:szCs w:val="14"/>
                <w:color w:val="auto"/>
              </w:rPr>
              <w:t>34,977</w:t>
            </w:r>
          </w:p>
        </w:tc>
        <w:tc>
          <w:tcPr>
            <w:tcW w:w="1240" w:type="dxa"/>
            <w:vAlign w:val="bottom"/>
          </w:tcPr>
          <w:p>
            <w:pPr>
              <w:ind w:left="300"/>
              <w:spacing w:after="0"/>
              <w:rPr>
                <w:sz w:val="20"/>
                <w:szCs w:val="20"/>
                <w:color w:val="auto"/>
              </w:rPr>
            </w:pPr>
            <w:r>
              <w:rPr>
                <w:rFonts w:ascii="Arial" w:cs="Arial" w:eastAsia="Arial" w:hAnsi="Arial"/>
                <w:sz w:val="14"/>
                <w:szCs w:val="14"/>
                <w:color w:val="auto"/>
              </w:rPr>
              <w:t>885</w:t>
            </w:r>
          </w:p>
        </w:tc>
        <w:tc>
          <w:tcPr>
            <w:tcW w:w="1880" w:type="dxa"/>
            <w:vAlign w:val="bottom"/>
          </w:tcPr>
          <w:p>
            <w:pPr>
              <w:ind w:left="480"/>
              <w:spacing w:after="0"/>
              <w:rPr>
                <w:sz w:val="20"/>
                <w:szCs w:val="20"/>
                <w:color w:val="auto"/>
              </w:rPr>
            </w:pPr>
            <w:r>
              <w:rPr>
                <w:rFonts w:ascii="Arial" w:cs="Arial" w:eastAsia="Arial" w:hAnsi="Arial"/>
                <w:sz w:val="14"/>
                <w:szCs w:val="14"/>
                <w:color w:val="auto"/>
              </w:rPr>
              <w:t>8,164</w:t>
            </w:r>
          </w:p>
        </w:tc>
      </w:tr>
      <w:tr>
        <w:trPr>
          <w:trHeight w:val="207"/>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The Press of Atlantic City</w:t>
            </w:r>
          </w:p>
        </w:tc>
        <w:tc>
          <w:tcPr>
            <w:tcW w:w="21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pressofatlanticcity.com</w:t>
            </w:r>
          </w:p>
        </w:tc>
        <w:tc>
          <w:tcPr>
            <w:tcW w:w="2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Atlantic City, NJ</w:t>
            </w:r>
          </w:p>
        </w:tc>
        <w:tc>
          <w:tcPr>
            <w:tcW w:w="17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22,684</w:t>
            </w:r>
          </w:p>
        </w:tc>
        <w:tc>
          <w:tcPr>
            <w:tcW w:w="12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649</w:t>
            </w:r>
          </w:p>
        </w:tc>
        <w:tc>
          <w:tcPr>
            <w:tcW w:w="18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5,016</w:t>
            </w:r>
          </w:p>
        </w:tc>
      </w:tr>
      <w:tr>
        <w:trPr>
          <w:trHeight w:val="198"/>
        </w:trPr>
        <w:tc>
          <w:tcPr>
            <w:tcW w:w="2220" w:type="dxa"/>
            <w:vAlign w:val="bottom"/>
          </w:tcPr>
          <w:p>
            <w:pPr>
              <w:ind w:left="20"/>
              <w:spacing w:after="0"/>
              <w:rPr>
                <w:sz w:val="20"/>
                <w:szCs w:val="20"/>
                <w:color w:val="auto"/>
              </w:rPr>
            </w:pPr>
            <w:r>
              <w:rPr>
                <w:rFonts w:ascii="Arial" w:cs="Arial" w:eastAsia="Arial" w:hAnsi="Arial"/>
                <w:sz w:val="14"/>
                <w:szCs w:val="14"/>
                <w:color w:val="auto"/>
              </w:rPr>
              <w:t>Roanoke Times</w:t>
            </w:r>
          </w:p>
        </w:tc>
        <w:tc>
          <w:tcPr>
            <w:tcW w:w="2100" w:type="dxa"/>
            <w:vAlign w:val="bottom"/>
          </w:tcPr>
          <w:p>
            <w:pPr>
              <w:ind w:left="360"/>
              <w:spacing w:after="0"/>
              <w:rPr>
                <w:sz w:val="20"/>
                <w:szCs w:val="20"/>
                <w:color w:val="auto"/>
              </w:rPr>
            </w:pPr>
            <w:r>
              <w:rPr>
                <w:rFonts w:ascii="Arial" w:cs="Arial" w:eastAsia="Arial" w:hAnsi="Arial"/>
                <w:sz w:val="14"/>
                <w:szCs w:val="14"/>
                <w:color w:val="auto"/>
              </w:rPr>
              <w:t>roanoke.com</w:t>
            </w:r>
          </w:p>
        </w:tc>
        <w:tc>
          <w:tcPr>
            <w:tcW w:w="2020" w:type="dxa"/>
            <w:vAlign w:val="bottom"/>
          </w:tcPr>
          <w:p>
            <w:pPr>
              <w:ind w:left="280"/>
              <w:spacing w:after="0"/>
              <w:rPr>
                <w:sz w:val="20"/>
                <w:szCs w:val="20"/>
                <w:color w:val="auto"/>
              </w:rPr>
            </w:pPr>
            <w:r>
              <w:rPr>
                <w:rFonts w:ascii="Arial" w:cs="Arial" w:eastAsia="Arial" w:hAnsi="Arial"/>
                <w:sz w:val="14"/>
                <w:szCs w:val="14"/>
                <w:color w:val="auto"/>
              </w:rPr>
              <w:t>Roanoke, VA</w:t>
            </w:r>
          </w:p>
        </w:tc>
        <w:tc>
          <w:tcPr>
            <w:tcW w:w="1780" w:type="dxa"/>
            <w:vAlign w:val="bottom"/>
          </w:tcPr>
          <w:p>
            <w:pPr>
              <w:ind w:left="160"/>
              <w:spacing w:after="0"/>
              <w:rPr>
                <w:sz w:val="20"/>
                <w:szCs w:val="20"/>
                <w:color w:val="auto"/>
              </w:rPr>
            </w:pPr>
            <w:r>
              <w:rPr>
                <w:rFonts w:ascii="Arial" w:cs="Arial" w:eastAsia="Arial" w:hAnsi="Arial"/>
                <w:sz w:val="14"/>
                <w:szCs w:val="14"/>
                <w:color w:val="auto"/>
              </w:rPr>
              <w:t>21,917</w:t>
            </w:r>
          </w:p>
        </w:tc>
        <w:tc>
          <w:tcPr>
            <w:tcW w:w="1240" w:type="dxa"/>
            <w:vAlign w:val="bottom"/>
          </w:tcPr>
          <w:p>
            <w:pPr>
              <w:ind w:left="300"/>
              <w:spacing w:after="0"/>
              <w:rPr>
                <w:sz w:val="20"/>
                <w:szCs w:val="20"/>
                <w:color w:val="auto"/>
              </w:rPr>
            </w:pPr>
            <w:r>
              <w:rPr>
                <w:rFonts w:ascii="Arial" w:cs="Arial" w:eastAsia="Arial" w:hAnsi="Arial"/>
                <w:sz w:val="14"/>
                <w:szCs w:val="14"/>
                <w:color w:val="auto"/>
              </w:rPr>
              <w:t>471</w:t>
            </w:r>
          </w:p>
        </w:tc>
        <w:tc>
          <w:tcPr>
            <w:tcW w:w="1880" w:type="dxa"/>
            <w:vAlign w:val="bottom"/>
          </w:tcPr>
          <w:p>
            <w:pPr>
              <w:ind w:left="480"/>
              <w:spacing w:after="0"/>
              <w:rPr>
                <w:sz w:val="20"/>
                <w:szCs w:val="20"/>
                <w:color w:val="auto"/>
              </w:rPr>
            </w:pPr>
            <w:r>
              <w:rPr>
                <w:rFonts w:ascii="Arial" w:cs="Arial" w:eastAsia="Arial" w:hAnsi="Arial"/>
                <w:sz w:val="14"/>
                <w:szCs w:val="14"/>
                <w:color w:val="auto"/>
              </w:rPr>
              <w:t>4,744</w:t>
            </w:r>
          </w:p>
        </w:tc>
      </w:tr>
      <w:tr>
        <w:trPr>
          <w:trHeight w:val="206"/>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Quad-City Times</w:t>
            </w:r>
          </w:p>
        </w:tc>
        <w:tc>
          <w:tcPr>
            <w:tcW w:w="21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qctimes.com</w:t>
            </w:r>
          </w:p>
        </w:tc>
        <w:tc>
          <w:tcPr>
            <w:tcW w:w="2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Davenport, IA</w:t>
            </w:r>
          </w:p>
        </w:tc>
        <w:tc>
          <w:tcPr>
            <w:tcW w:w="17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20,432</w:t>
            </w:r>
          </w:p>
        </w:tc>
        <w:tc>
          <w:tcPr>
            <w:tcW w:w="12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453</w:t>
            </w:r>
          </w:p>
        </w:tc>
        <w:tc>
          <w:tcPr>
            <w:tcW w:w="18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4,073</w:t>
            </w:r>
          </w:p>
        </w:tc>
      </w:tr>
      <w:tr>
        <w:trPr>
          <w:trHeight w:val="199"/>
        </w:trPr>
        <w:tc>
          <w:tcPr>
            <w:tcW w:w="2220" w:type="dxa"/>
            <w:vAlign w:val="bottom"/>
          </w:tcPr>
          <w:p>
            <w:pPr>
              <w:ind w:left="20"/>
              <w:spacing w:after="0"/>
              <w:rPr>
                <w:sz w:val="20"/>
                <w:szCs w:val="20"/>
                <w:color w:val="auto"/>
              </w:rPr>
            </w:pPr>
            <w:r>
              <w:rPr>
                <w:rFonts w:ascii="Arial" w:cs="Arial" w:eastAsia="Arial" w:hAnsi="Arial"/>
                <w:sz w:val="14"/>
                <w:szCs w:val="14"/>
                <w:color w:val="auto"/>
              </w:rPr>
              <w:t>Winston Salem Journal</w:t>
            </w:r>
          </w:p>
        </w:tc>
        <w:tc>
          <w:tcPr>
            <w:tcW w:w="2100" w:type="dxa"/>
            <w:vAlign w:val="bottom"/>
          </w:tcPr>
          <w:p>
            <w:pPr>
              <w:ind w:left="360"/>
              <w:spacing w:after="0"/>
              <w:rPr>
                <w:sz w:val="20"/>
                <w:szCs w:val="20"/>
                <w:color w:val="auto"/>
              </w:rPr>
            </w:pPr>
            <w:r>
              <w:rPr>
                <w:rFonts w:ascii="Arial" w:cs="Arial" w:eastAsia="Arial" w:hAnsi="Arial"/>
                <w:sz w:val="14"/>
                <w:szCs w:val="14"/>
                <w:color w:val="auto"/>
              </w:rPr>
              <w:t>journalnow.com</w:t>
            </w:r>
          </w:p>
        </w:tc>
        <w:tc>
          <w:tcPr>
            <w:tcW w:w="2020" w:type="dxa"/>
            <w:vAlign w:val="bottom"/>
          </w:tcPr>
          <w:p>
            <w:pPr>
              <w:ind w:left="280"/>
              <w:spacing w:after="0"/>
              <w:rPr>
                <w:sz w:val="20"/>
                <w:szCs w:val="20"/>
                <w:color w:val="auto"/>
              </w:rPr>
            </w:pPr>
            <w:r>
              <w:rPr>
                <w:rFonts w:ascii="Arial" w:cs="Arial" w:eastAsia="Arial" w:hAnsi="Arial"/>
                <w:sz w:val="14"/>
                <w:szCs w:val="14"/>
                <w:color w:val="auto"/>
              </w:rPr>
              <w:t>Winston-Salem, NC</w:t>
            </w:r>
          </w:p>
        </w:tc>
        <w:tc>
          <w:tcPr>
            <w:tcW w:w="1780" w:type="dxa"/>
            <w:vAlign w:val="bottom"/>
          </w:tcPr>
          <w:p>
            <w:pPr>
              <w:ind w:left="160"/>
              <w:spacing w:after="0"/>
              <w:rPr>
                <w:sz w:val="20"/>
                <w:szCs w:val="20"/>
                <w:color w:val="auto"/>
              </w:rPr>
            </w:pPr>
            <w:r>
              <w:rPr>
                <w:rFonts w:ascii="Arial" w:cs="Arial" w:eastAsia="Arial" w:hAnsi="Arial"/>
                <w:sz w:val="14"/>
                <w:szCs w:val="14"/>
                <w:color w:val="auto"/>
              </w:rPr>
              <w:t>20,101</w:t>
            </w:r>
          </w:p>
        </w:tc>
        <w:tc>
          <w:tcPr>
            <w:tcW w:w="1240" w:type="dxa"/>
            <w:vAlign w:val="bottom"/>
          </w:tcPr>
          <w:p>
            <w:pPr>
              <w:ind w:left="300"/>
              <w:spacing w:after="0"/>
              <w:rPr>
                <w:sz w:val="20"/>
                <w:szCs w:val="20"/>
                <w:color w:val="auto"/>
              </w:rPr>
            </w:pPr>
            <w:r>
              <w:rPr>
                <w:rFonts w:ascii="Arial" w:cs="Arial" w:eastAsia="Arial" w:hAnsi="Arial"/>
                <w:sz w:val="14"/>
                <w:szCs w:val="14"/>
                <w:color w:val="auto"/>
              </w:rPr>
              <w:t>538</w:t>
            </w:r>
          </w:p>
        </w:tc>
        <w:tc>
          <w:tcPr>
            <w:tcW w:w="1880" w:type="dxa"/>
            <w:vAlign w:val="bottom"/>
          </w:tcPr>
          <w:p>
            <w:pPr>
              <w:ind w:left="480"/>
              <w:spacing w:after="0"/>
              <w:rPr>
                <w:sz w:val="20"/>
                <w:szCs w:val="20"/>
                <w:color w:val="auto"/>
              </w:rPr>
            </w:pPr>
            <w:r>
              <w:rPr>
                <w:rFonts w:ascii="Arial" w:cs="Arial" w:eastAsia="Arial" w:hAnsi="Arial"/>
                <w:sz w:val="14"/>
                <w:szCs w:val="14"/>
                <w:color w:val="auto"/>
              </w:rPr>
              <w:t>4,810</w:t>
            </w:r>
          </w:p>
        </w:tc>
      </w:tr>
      <w:tr>
        <w:trPr>
          <w:trHeight w:val="206"/>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The Pantagraph</w:t>
            </w:r>
          </w:p>
        </w:tc>
        <w:tc>
          <w:tcPr>
            <w:tcW w:w="21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pantagraph.com</w:t>
            </w:r>
          </w:p>
        </w:tc>
        <w:tc>
          <w:tcPr>
            <w:tcW w:w="2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Bloomington, IL</w:t>
            </w:r>
          </w:p>
        </w:tc>
        <w:tc>
          <w:tcPr>
            <w:tcW w:w="17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18,768</w:t>
            </w:r>
          </w:p>
        </w:tc>
        <w:tc>
          <w:tcPr>
            <w:tcW w:w="12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415</w:t>
            </w:r>
          </w:p>
        </w:tc>
        <w:tc>
          <w:tcPr>
            <w:tcW w:w="18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4,705</w:t>
            </w:r>
          </w:p>
        </w:tc>
      </w:tr>
      <w:tr>
        <w:trPr>
          <w:trHeight w:val="199"/>
        </w:trPr>
        <w:tc>
          <w:tcPr>
            <w:tcW w:w="2220" w:type="dxa"/>
            <w:vAlign w:val="bottom"/>
          </w:tcPr>
          <w:p>
            <w:pPr>
              <w:ind w:left="20"/>
              <w:spacing w:after="0"/>
              <w:rPr>
                <w:sz w:val="20"/>
                <w:szCs w:val="20"/>
                <w:color w:val="auto"/>
              </w:rPr>
            </w:pPr>
            <w:r>
              <w:rPr>
                <w:rFonts w:ascii="Arial" w:cs="Arial" w:eastAsia="Arial" w:hAnsi="Arial"/>
                <w:sz w:val="14"/>
                <w:szCs w:val="14"/>
                <w:color w:val="auto"/>
              </w:rPr>
              <w:t>Greensboro News-Record</w:t>
            </w:r>
          </w:p>
        </w:tc>
        <w:tc>
          <w:tcPr>
            <w:tcW w:w="2100" w:type="dxa"/>
            <w:vAlign w:val="bottom"/>
          </w:tcPr>
          <w:p>
            <w:pPr>
              <w:ind w:left="360"/>
              <w:spacing w:after="0"/>
              <w:rPr>
                <w:sz w:val="20"/>
                <w:szCs w:val="20"/>
                <w:color w:val="auto"/>
              </w:rPr>
            </w:pPr>
            <w:r>
              <w:rPr>
                <w:rFonts w:ascii="Arial" w:cs="Arial" w:eastAsia="Arial" w:hAnsi="Arial"/>
                <w:sz w:val="14"/>
                <w:szCs w:val="14"/>
                <w:color w:val="auto"/>
              </w:rPr>
              <w:t>greensboro.com</w:t>
            </w:r>
          </w:p>
        </w:tc>
        <w:tc>
          <w:tcPr>
            <w:tcW w:w="2020" w:type="dxa"/>
            <w:vAlign w:val="bottom"/>
          </w:tcPr>
          <w:p>
            <w:pPr>
              <w:ind w:left="280"/>
              <w:spacing w:after="0"/>
              <w:rPr>
                <w:sz w:val="20"/>
                <w:szCs w:val="20"/>
                <w:color w:val="auto"/>
              </w:rPr>
            </w:pPr>
            <w:r>
              <w:rPr>
                <w:rFonts w:ascii="Arial" w:cs="Arial" w:eastAsia="Arial" w:hAnsi="Arial"/>
                <w:sz w:val="14"/>
                <w:szCs w:val="14"/>
                <w:color w:val="auto"/>
              </w:rPr>
              <w:t>Greensboro, NC</w:t>
            </w:r>
          </w:p>
        </w:tc>
        <w:tc>
          <w:tcPr>
            <w:tcW w:w="1780" w:type="dxa"/>
            <w:vAlign w:val="bottom"/>
          </w:tcPr>
          <w:p>
            <w:pPr>
              <w:ind w:left="160"/>
              <w:spacing w:after="0"/>
              <w:rPr>
                <w:sz w:val="20"/>
                <w:szCs w:val="20"/>
                <w:color w:val="auto"/>
              </w:rPr>
            </w:pPr>
            <w:r>
              <w:rPr>
                <w:rFonts w:ascii="Arial" w:cs="Arial" w:eastAsia="Arial" w:hAnsi="Arial"/>
                <w:sz w:val="14"/>
                <w:szCs w:val="14"/>
                <w:color w:val="auto"/>
              </w:rPr>
              <w:t>18,563</w:t>
            </w:r>
          </w:p>
        </w:tc>
        <w:tc>
          <w:tcPr>
            <w:tcW w:w="1240" w:type="dxa"/>
            <w:vAlign w:val="bottom"/>
          </w:tcPr>
          <w:p>
            <w:pPr>
              <w:ind w:left="300"/>
              <w:spacing w:after="0"/>
              <w:rPr>
                <w:sz w:val="20"/>
                <w:szCs w:val="20"/>
                <w:color w:val="auto"/>
              </w:rPr>
            </w:pPr>
            <w:r>
              <w:rPr>
                <w:rFonts w:ascii="Arial" w:cs="Arial" w:eastAsia="Arial" w:hAnsi="Arial"/>
                <w:sz w:val="14"/>
                <w:szCs w:val="14"/>
                <w:color w:val="auto"/>
              </w:rPr>
              <w:t>433</w:t>
            </w:r>
          </w:p>
        </w:tc>
        <w:tc>
          <w:tcPr>
            <w:tcW w:w="1880" w:type="dxa"/>
            <w:vAlign w:val="bottom"/>
          </w:tcPr>
          <w:p>
            <w:pPr>
              <w:ind w:left="480"/>
              <w:spacing w:after="0"/>
              <w:rPr>
                <w:sz w:val="20"/>
                <w:szCs w:val="20"/>
                <w:color w:val="auto"/>
              </w:rPr>
            </w:pPr>
            <w:r>
              <w:rPr>
                <w:rFonts w:ascii="Arial" w:cs="Arial" w:eastAsia="Arial" w:hAnsi="Arial"/>
                <w:sz w:val="14"/>
                <w:szCs w:val="14"/>
                <w:color w:val="auto"/>
              </w:rPr>
              <w:t>3,259</w:t>
            </w:r>
          </w:p>
        </w:tc>
      </w:tr>
      <w:tr>
        <w:trPr>
          <w:trHeight w:val="206"/>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Freelance-Star</w:t>
            </w:r>
          </w:p>
        </w:tc>
        <w:tc>
          <w:tcPr>
            <w:tcW w:w="21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fredericksburg.com</w:t>
            </w:r>
          </w:p>
        </w:tc>
        <w:tc>
          <w:tcPr>
            <w:tcW w:w="2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Fredericksburg, VA</w:t>
            </w:r>
          </w:p>
        </w:tc>
        <w:tc>
          <w:tcPr>
            <w:tcW w:w="17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16,860</w:t>
            </w:r>
          </w:p>
        </w:tc>
        <w:tc>
          <w:tcPr>
            <w:tcW w:w="12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244</w:t>
            </w:r>
          </w:p>
        </w:tc>
        <w:tc>
          <w:tcPr>
            <w:tcW w:w="18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2,962</w:t>
            </w:r>
          </w:p>
        </w:tc>
      </w:tr>
      <w:tr>
        <w:trPr>
          <w:trHeight w:val="198"/>
        </w:trPr>
        <w:tc>
          <w:tcPr>
            <w:tcW w:w="2220" w:type="dxa"/>
            <w:vAlign w:val="bottom"/>
          </w:tcPr>
          <w:p>
            <w:pPr>
              <w:ind w:left="20"/>
              <w:spacing w:after="0"/>
              <w:rPr>
                <w:sz w:val="20"/>
                <w:szCs w:val="20"/>
                <w:color w:val="auto"/>
              </w:rPr>
            </w:pPr>
            <w:r>
              <w:rPr>
                <w:rFonts w:ascii="Arial" w:cs="Arial" w:eastAsia="Arial" w:hAnsi="Arial"/>
                <w:sz w:val="14"/>
                <w:szCs w:val="14"/>
                <w:color w:val="auto"/>
              </w:rPr>
              <w:t>Missoulian</w:t>
            </w:r>
          </w:p>
        </w:tc>
        <w:tc>
          <w:tcPr>
            <w:tcW w:w="2100" w:type="dxa"/>
            <w:vAlign w:val="bottom"/>
          </w:tcPr>
          <w:p>
            <w:pPr>
              <w:ind w:left="360"/>
              <w:spacing w:after="0"/>
              <w:rPr>
                <w:sz w:val="20"/>
                <w:szCs w:val="20"/>
                <w:color w:val="auto"/>
              </w:rPr>
            </w:pPr>
            <w:r>
              <w:rPr>
                <w:rFonts w:ascii="Arial" w:cs="Arial" w:eastAsia="Arial" w:hAnsi="Arial"/>
                <w:sz w:val="14"/>
                <w:szCs w:val="14"/>
                <w:color w:val="auto"/>
              </w:rPr>
              <w:t>missoulian.com</w:t>
            </w:r>
          </w:p>
        </w:tc>
        <w:tc>
          <w:tcPr>
            <w:tcW w:w="2020" w:type="dxa"/>
            <w:vAlign w:val="bottom"/>
          </w:tcPr>
          <w:p>
            <w:pPr>
              <w:ind w:left="280"/>
              <w:spacing w:after="0"/>
              <w:rPr>
                <w:sz w:val="20"/>
                <w:szCs w:val="20"/>
                <w:color w:val="auto"/>
              </w:rPr>
            </w:pPr>
            <w:r>
              <w:rPr>
                <w:rFonts w:ascii="Arial" w:cs="Arial" w:eastAsia="Arial" w:hAnsi="Arial"/>
                <w:sz w:val="14"/>
                <w:szCs w:val="14"/>
                <w:color w:val="auto"/>
              </w:rPr>
              <w:t>Missoula, MT</w:t>
            </w:r>
          </w:p>
        </w:tc>
        <w:tc>
          <w:tcPr>
            <w:tcW w:w="1780" w:type="dxa"/>
            <w:vAlign w:val="bottom"/>
          </w:tcPr>
          <w:p>
            <w:pPr>
              <w:ind w:left="160"/>
              <w:spacing w:after="0"/>
              <w:rPr>
                <w:sz w:val="20"/>
                <w:szCs w:val="20"/>
                <w:color w:val="auto"/>
              </w:rPr>
            </w:pPr>
            <w:r>
              <w:rPr>
                <w:rFonts w:ascii="Arial" w:cs="Arial" w:eastAsia="Arial" w:hAnsi="Arial"/>
                <w:sz w:val="14"/>
                <w:szCs w:val="14"/>
                <w:color w:val="auto"/>
              </w:rPr>
              <w:t>15,615</w:t>
            </w:r>
          </w:p>
        </w:tc>
        <w:tc>
          <w:tcPr>
            <w:tcW w:w="1240" w:type="dxa"/>
            <w:vAlign w:val="bottom"/>
          </w:tcPr>
          <w:p>
            <w:pPr>
              <w:ind w:left="300"/>
              <w:spacing w:after="0"/>
              <w:rPr>
                <w:sz w:val="20"/>
                <w:szCs w:val="20"/>
                <w:color w:val="auto"/>
              </w:rPr>
            </w:pPr>
            <w:r>
              <w:rPr>
                <w:rFonts w:ascii="Arial" w:cs="Arial" w:eastAsia="Arial" w:hAnsi="Arial"/>
                <w:sz w:val="14"/>
                <w:szCs w:val="14"/>
                <w:color w:val="auto"/>
              </w:rPr>
              <w:t>303</w:t>
            </w:r>
          </w:p>
        </w:tc>
        <w:tc>
          <w:tcPr>
            <w:tcW w:w="1880" w:type="dxa"/>
            <w:vAlign w:val="bottom"/>
          </w:tcPr>
          <w:p>
            <w:pPr>
              <w:ind w:left="480"/>
              <w:spacing w:after="0"/>
              <w:rPr>
                <w:sz w:val="20"/>
                <w:szCs w:val="20"/>
                <w:color w:val="auto"/>
              </w:rPr>
            </w:pPr>
            <w:r>
              <w:rPr>
                <w:rFonts w:ascii="Arial" w:cs="Arial" w:eastAsia="Arial" w:hAnsi="Arial"/>
                <w:sz w:val="14"/>
                <w:szCs w:val="14"/>
                <w:color w:val="auto"/>
              </w:rPr>
              <w:t>3,723</w:t>
            </w:r>
          </w:p>
        </w:tc>
      </w:tr>
      <w:tr>
        <w:trPr>
          <w:trHeight w:val="207"/>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The Bismarck Tribune</w:t>
            </w:r>
          </w:p>
        </w:tc>
        <w:tc>
          <w:tcPr>
            <w:tcW w:w="21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bismarcktribune.com</w:t>
            </w:r>
          </w:p>
        </w:tc>
        <w:tc>
          <w:tcPr>
            <w:tcW w:w="2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Bismarck, ND</w:t>
            </w:r>
          </w:p>
        </w:tc>
        <w:tc>
          <w:tcPr>
            <w:tcW w:w="17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12,021</w:t>
            </w:r>
          </w:p>
        </w:tc>
        <w:tc>
          <w:tcPr>
            <w:tcW w:w="12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315</w:t>
            </w:r>
          </w:p>
        </w:tc>
        <w:tc>
          <w:tcPr>
            <w:tcW w:w="18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4,422</w:t>
            </w:r>
          </w:p>
        </w:tc>
      </w:tr>
      <w:tr>
        <w:trPr>
          <w:trHeight w:val="198"/>
        </w:trPr>
        <w:tc>
          <w:tcPr>
            <w:tcW w:w="2220" w:type="dxa"/>
            <w:vAlign w:val="bottom"/>
          </w:tcPr>
          <w:p>
            <w:pPr>
              <w:ind w:left="20"/>
              <w:spacing w:after="0"/>
              <w:rPr>
                <w:sz w:val="20"/>
                <w:szCs w:val="20"/>
                <w:color w:val="auto"/>
              </w:rPr>
            </w:pPr>
            <w:r>
              <w:rPr>
                <w:rFonts w:ascii="Arial" w:cs="Arial" w:eastAsia="Arial" w:hAnsi="Arial"/>
                <w:sz w:val="14"/>
                <w:szCs w:val="14"/>
                <w:color w:val="auto"/>
              </w:rPr>
              <w:t>Waco Tribune-Herald</w:t>
            </w:r>
          </w:p>
        </w:tc>
        <w:tc>
          <w:tcPr>
            <w:tcW w:w="2100" w:type="dxa"/>
            <w:vAlign w:val="bottom"/>
          </w:tcPr>
          <w:p>
            <w:pPr>
              <w:ind w:left="360"/>
              <w:spacing w:after="0"/>
              <w:rPr>
                <w:sz w:val="20"/>
                <w:szCs w:val="20"/>
                <w:color w:val="auto"/>
              </w:rPr>
            </w:pPr>
            <w:r>
              <w:rPr>
                <w:rFonts w:ascii="Arial" w:cs="Arial" w:eastAsia="Arial" w:hAnsi="Arial"/>
                <w:sz w:val="14"/>
                <w:szCs w:val="14"/>
                <w:color w:val="auto"/>
              </w:rPr>
              <w:t>wacotrib.com</w:t>
            </w:r>
          </w:p>
        </w:tc>
        <w:tc>
          <w:tcPr>
            <w:tcW w:w="2020" w:type="dxa"/>
            <w:vAlign w:val="bottom"/>
          </w:tcPr>
          <w:p>
            <w:pPr>
              <w:ind w:left="280"/>
              <w:spacing w:after="0"/>
              <w:rPr>
                <w:sz w:val="20"/>
                <w:szCs w:val="20"/>
                <w:color w:val="auto"/>
              </w:rPr>
            </w:pPr>
            <w:r>
              <w:rPr>
                <w:rFonts w:ascii="Arial" w:cs="Arial" w:eastAsia="Arial" w:hAnsi="Arial"/>
                <w:sz w:val="14"/>
                <w:szCs w:val="14"/>
                <w:color w:val="auto"/>
              </w:rPr>
              <w:t>Waco, TX</w:t>
            </w:r>
          </w:p>
        </w:tc>
        <w:tc>
          <w:tcPr>
            <w:tcW w:w="1780" w:type="dxa"/>
            <w:vAlign w:val="bottom"/>
          </w:tcPr>
          <w:p>
            <w:pPr>
              <w:ind w:left="160"/>
              <w:spacing w:after="0"/>
              <w:rPr>
                <w:sz w:val="20"/>
                <w:szCs w:val="20"/>
                <w:color w:val="auto"/>
              </w:rPr>
            </w:pPr>
            <w:r>
              <w:rPr>
                <w:rFonts w:ascii="Arial" w:cs="Arial" w:eastAsia="Arial" w:hAnsi="Arial"/>
                <w:sz w:val="14"/>
                <w:szCs w:val="14"/>
                <w:color w:val="auto"/>
              </w:rPr>
              <w:t>11,840</w:t>
            </w:r>
          </w:p>
        </w:tc>
        <w:tc>
          <w:tcPr>
            <w:tcW w:w="1240" w:type="dxa"/>
            <w:vAlign w:val="bottom"/>
          </w:tcPr>
          <w:p>
            <w:pPr>
              <w:ind w:left="300"/>
              <w:spacing w:after="0"/>
              <w:rPr>
                <w:sz w:val="20"/>
                <w:szCs w:val="20"/>
                <w:color w:val="auto"/>
              </w:rPr>
            </w:pPr>
            <w:r>
              <w:rPr>
                <w:rFonts w:ascii="Arial" w:cs="Arial" w:eastAsia="Arial" w:hAnsi="Arial"/>
                <w:sz w:val="14"/>
                <w:szCs w:val="14"/>
                <w:color w:val="auto"/>
              </w:rPr>
              <w:t>295</w:t>
            </w:r>
          </w:p>
        </w:tc>
        <w:tc>
          <w:tcPr>
            <w:tcW w:w="1880" w:type="dxa"/>
            <w:vAlign w:val="bottom"/>
          </w:tcPr>
          <w:p>
            <w:pPr>
              <w:ind w:left="480"/>
              <w:spacing w:after="0"/>
              <w:rPr>
                <w:sz w:val="20"/>
                <w:szCs w:val="20"/>
                <w:color w:val="auto"/>
              </w:rPr>
            </w:pPr>
            <w:r>
              <w:rPr>
                <w:rFonts w:ascii="Arial" w:cs="Arial" w:eastAsia="Arial" w:hAnsi="Arial"/>
                <w:sz w:val="14"/>
                <w:szCs w:val="14"/>
                <w:color w:val="auto"/>
              </w:rPr>
              <w:t>2,495</w:t>
            </w:r>
          </w:p>
        </w:tc>
      </w:tr>
      <w:tr>
        <w:trPr>
          <w:trHeight w:val="207"/>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Daily Publications</w:t>
            </w:r>
          </w:p>
        </w:tc>
        <w:tc>
          <w:tcPr>
            <w:tcW w:w="21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7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347,178</w:t>
            </w:r>
          </w:p>
        </w:tc>
        <w:tc>
          <w:tcPr>
            <w:tcW w:w="12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8,496</w:t>
            </w:r>
          </w:p>
        </w:tc>
        <w:tc>
          <w:tcPr>
            <w:tcW w:w="18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69,434</w:t>
            </w:r>
          </w:p>
        </w:tc>
      </w:tr>
      <w:tr>
        <w:trPr>
          <w:trHeight w:val="198"/>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Non-Daily Publications</w:t>
            </w:r>
          </w:p>
        </w:tc>
        <w:tc>
          <w:tcPr>
            <w:tcW w:w="21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26,598</w:t>
            </w:r>
          </w:p>
        </w:tc>
        <w:tc>
          <w:tcPr>
            <w:tcW w:w="124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1,035</w:t>
            </w:r>
          </w:p>
        </w:tc>
        <w:tc>
          <w:tcPr>
            <w:tcW w:w="1880" w:type="dxa"/>
            <w:vAlign w:val="bottom"/>
            <w:tcBorders>
              <w:bottom w:val="single" w:sz="8" w:color="auto"/>
            </w:tcBorders>
          </w:tcPr>
          <w:p>
            <w:pPr>
              <w:ind w:left="480"/>
              <w:spacing w:after="0"/>
              <w:rPr>
                <w:sz w:val="20"/>
                <w:szCs w:val="20"/>
                <w:color w:val="auto"/>
              </w:rPr>
            </w:pPr>
            <w:r>
              <w:rPr>
                <w:rFonts w:ascii="Arial" w:cs="Arial" w:eastAsia="Arial" w:hAnsi="Arial"/>
                <w:sz w:val="14"/>
                <w:szCs w:val="14"/>
                <w:color w:val="auto"/>
              </w:rPr>
              <w:t>2,841</w:t>
            </w:r>
          </w:p>
        </w:tc>
      </w:tr>
      <w:tr>
        <w:trPr>
          <w:trHeight w:val="200"/>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21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78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1,104,989</w:t>
            </w:r>
          </w:p>
        </w:tc>
        <w:tc>
          <w:tcPr>
            <w:tcW w:w="1240" w:type="dxa"/>
            <w:vAlign w:val="bottom"/>
            <w:shd w:val="clear" w:color="auto" w:fill="CCEEFF"/>
          </w:tcPr>
          <w:p>
            <w:pPr>
              <w:ind w:left="300"/>
              <w:spacing w:after="0"/>
              <w:rPr>
                <w:sz w:val="20"/>
                <w:szCs w:val="20"/>
                <w:color w:val="auto"/>
              </w:rPr>
            </w:pPr>
            <w:r>
              <w:rPr>
                <w:rFonts w:ascii="Arial" w:cs="Arial" w:eastAsia="Arial" w:hAnsi="Arial"/>
                <w:sz w:val="14"/>
                <w:szCs w:val="14"/>
                <w:b w:val="1"/>
                <w:bCs w:val="1"/>
                <w:color w:val="auto"/>
              </w:rPr>
              <w:t>26,107</w:t>
            </w:r>
          </w:p>
        </w:tc>
        <w:tc>
          <w:tcPr>
            <w:tcW w:w="1880" w:type="dxa"/>
            <w:vAlign w:val="bottom"/>
            <w:shd w:val="clear" w:color="auto" w:fill="CCEEFF"/>
          </w:tcPr>
          <w:p>
            <w:pPr>
              <w:ind w:left="480"/>
              <w:spacing w:after="0"/>
              <w:rPr>
                <w:sz w:val="20"/>
                <w:szCs w:val="20"/>
                <w:color w:val="auto"/>
              </w:rPr>
            </w:pPr>
            <w:r>
              <w:rPr>
                <w:rFonts w:ascii="Arial" w:cs="Arial" w:eastAsia="Arial" w:hAnsi="Arial"/>
                <w:sz w:val="14"/>
                <w:szCs w:val="14"/>
                <w:b w:val="1"/>
                <w:bCs w:val="1"/>
                <w:color w:val="auto"/>
              </w:rPr>
              <w:t>229,098</w:t>
            </w:r>
          </w:p>
        </w:tc>
      </w:tr>
    </w:tbl>
    <w:p>
      <w:pPr>
        <w:spacing w:after="0" w:line="256" w:lineRule="exact"/>
        <w:rPr>
          <w:sz w:val="20"/>
          <w:szCs w:val="20"/>
          <w:color w:val="auto"/>
        </w:rPr>
      </w:pPr>
    </w:p>
    <w:p>
      <w:pPr>
        <w:ind w:left="1300" w:hanging="320"/>
        <w:spacing w:after="0"/>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Owned by MNI</w:t>
      </w:r>
    </w:p>
    <w:p>
      <w:pPr>
        <w:spacing w:after="0" w:line="21" w:lineRule="exact"/>
        <w:rPr>
          <w:rFonts w:ascii="Arial" w:cs="Arial" w:eastAsia="Arial" w:hAnsi="Arial"/>
          <w:sz w:val="16"/>
          <w:szCs w:val="16"/>
          <w:color w:val="auto"/>
        </w:rPr>
      </w:pPr>
    </w:p>
    <w:p>
      <w:pPr>
        <w:ind w:left="1300" w:hanging="320"/>
        <w:spacing w:after="0"/>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Owned by Star Publishing and published through TNI</w:t>
      </w:r>
    </w:p>
    <w:p>
      <w:pPr>
        <w:spacing w:after="0" w:line="14" w:lineRule="exact"/>
        <w:rPr>
          <w:rFonts w:ascii="Arial" w:cs="Arial" w:eastAsia="Arial" w:hAnsi="Arial"/>
          <w:sz w:val="16"/>
          <w:szCs w:val="16"/>
          <w:color w:val="auto"/>
        </w:rPr>
      </w:pPr>
    </w:p>
    <w:p>
      <w:pPr>
        <w:ind w:left="1300" w:hanging="320"/>
        <w:spacing w:after="0"/>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Source: Company statistics.</w:t>
      </w:r>
    </w:p>
    <w:p>
      <w:pPr>
        <w:spacing w:after="0" w:line="8" w:lineRule="exact"/>
        <w:rPr>
          <w:rFonts w:ascii="Arial" w:cs="Arial" w:eastAsia="Arial" w:hAnsi="Arial"/>
          <w:sz w:val="16"/>
          <w:szCs w:val="16"/>
          <w:color w:val="auto"/>
        </w:rPr>
      </w:pPr>
    </w:p>
    <w:p>
      <w:pPr>
        <w:ind w:left="1300" w:hanging="320"/>
        <w:spacing w:after="0"/>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Digital &amp; Print Subscribers represents the subscriber volumes as of September 29, 2024.</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NEWSPRINT</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raw material of newspapers, and our other print publications, is newsprint. We purchase newsprint from U.S. and Canadian producers. We believe we will continue to receive a supply of newsprint adequate for our needs and consider our relationships with newsprint producers to be good. Newsprint purchase prices can be volatile and fluctuate based upon factors that include foreign currency exchange rates, tariffs and both foreign and domestic production capacity and consumption. Price fluctuations can affect our results of operations. We have not entered into derivative contracts for newsprint.</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believe the foundation of our business is the people and employees who support our business strategy. A major focus in 2024 was investing in top digital talent to carry out our Three Pillar Digital Growth Strategy and position us to achieve our long-term growth targets.</w:t>
      </w:r>
    </w:p>
    <w:p>
      <w:pPr>
        <w:spacing w:after="0" w:line="1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September 29, 2024, we had 3,047 employees, including 373 part-time employees, exclusive of TNI and MNI. Full-time equivalent employees in 2024 totaled approximately 2,897 of which 366 are represented by unions. We consider our relationships with our employees to be good. We are committed to creating an equitable and inclusive workplace that also reflects the diversity of our local readers and communities in which we serve.</w:t>
      </w:r>
    </w:p>
    <w:p>
      <w:pPr>
        <w:spacing w:after="0" w:line="19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remain deeply committed to fostering diversity within our organization by continuously evaluating and enhancing our hiring practices, broadening our recruitment efforts, offering skill-building opportunities focused on diverse storytelling, and crafting business strategies that engage historically underserved communities. These initiatives position us to build a more representative workforce at every level, strengthening our company’s culture and driving long-term success.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AND PUBLIC INFORMATION</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a long history of sound corporate governance practices. Currently, our Board of Directors has affirmatively determined that eight of its nine members are independent, including all members of the Board's Audit, Executive Compensation, and Nominating and Corporate Governance committees. The Audit and Risk Management Committee approves all services to be provided by our independent registered public accounting firm and its affiliates.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www.lee.net, one may access a wide variety of information, including news releases, SEC filings, financial statistics, annual reports, investor presentations, governance documents, newspaper profiles and digital links. We make available via our website all filings made by the Company under the Securities Exchange Act of 1934 ("Exchange Act"), including Forms 10-K, 10-Q and 8-K, and related amendments, as soon as reasonably practicable after they are filed with, or furnished to, the SEC. All such filings are available free of charge. The content of any website referred to in this Annual Report on Form 10-K ("Annual Report") is not incorporated by reference unless expressly noted.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This Annual Report contains information that may be deemed forward-looking that is based largely on our current expectations, and is subject to certain risks, trends and uncertainties that could cause actual results to differ materially from those anticipated. Among such risks, trends and other uncertainties, which in some instances are beyond our control, are:</w:t>
      </w:r>
    </w:p>
    <w:p>
      <w:pPr>
        <w:spacing w:after="0" w:line="149" w:lineRule="exact"/>
        <w:rPr>
          <w:sz w:val="20"/>
          <w:szCs w:val="20"/>
          <w:color w:val="auto"/>
        </w:rPr>
      </w:pPr>
    </w:p>
    <w:p>
      <w:pPr>
        <w:ind w:left="820" w:right="20" w:hanging="326"/>
        <w:spacing w:after="0" w:line="287" w:lineRule="auto"/>
        <w:tabs>
          <w:tab w:leader="none" w:pos="81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required to indemnify the previous owners of the BH Media or Buffalo News for unknown legal and other matters that may arise;</w:t>
      </w:r>
    </w:p>
    <w:p>
      <w:pPr>
        <w:spacing w:after="0" w:line="112"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manage declining print revenue;</w:t>
      </w:r>
    </w:p>
    <w:p>
      <w:pPr>
        <w:spacing w:after="0" w:line="184"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and duration of adverse conditions in certain aspects of the economy affecting our business;</w:t>
      </w:r>
    </w:p>
    <w:p>
      <w:pPr>
        <w:spacing w:after="0" w:line="198"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 in advertising and subscription demand;</w:t>
      </w:r>
    </w:p>
    <w:p>
      <w:pPr>
        <w:spacing w:after="0" w:line="184"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technology that impact our ability to deliver digital advertising;</w:t>
      </w:r>
    </w:p>
    <w:p>
      <w:pPr>
        <w:spacing w:after="0" w:line="184"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changes in newsprint, other commodities and energy costs;</w:t>
      </w:r>
    </w:p>
    <w:p>
      <w:pPr>
        <w:spacing w:after="0" w:line="198"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184"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Labor costs;</w:t>
      </w:r>
    </w:p>
    <w:p>
      <w:pPr>
        <w:spacing w:after="0" w:line="184"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 cyber-security breaches or failure of our information technology systems;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employee and customer relationships;</w:t>
      </w:r>
    </w:p>
    <w:p>
      <w:pPr>
        <w:spacing w:after="0" w:line="198"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manage increased capital costs;</w:t>
      </w:r>
    </w:p>
    <w:p>
      <w:pPr>
        <w:spacing w:after="0" w:line="184"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our listing Nasdaq;</w:t>
      </w:r>
    </w:p>
    <w:p>
      <w:pPr>
        <w:spacing w:after="0" w:line="184"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198" w:lineRule="exact"/>
        <w:rPr>
          <w:rFonts w:ascii="Arial" w:cs="Arial" w:eastAsia="Arial" w:hAnsi="Arial"/>
          <w:sz w:val="18"/>
          <w:szCs w:val="18"/>
          <w:color w:val="auto"/>
        </w:rPr>
      </w:pPr>
    </w:p>
    <w:p>
      <w:pPr>
        <w:ind w:left="820" w:hanging="326"/>
        <w:spacing w:after="0" w:line="287" w:lineRule="auto"/>
        <w:tabs>
          <w:tab w:leader="none" w:pos="815"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risks detailed from time to time in our publicly filed documents, including this Annual Report and particularly in "Risk Factors", Part I, Item 1A herein.</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statements that are not statements of historical fact (including statements containing the words “may”, “will”, “would”, “could”, “believes”, “expects”, “anticipates”, “intends”, “plans”, “projects”, “considers” and similar expressions) generally should be considered forward-looking statements. They reflect our expectations, are not guarantees of performance and speak only as of the date the statement is made. Readers are cautioned not to place undue reliance on such forward-looking statements, which are made as of the date of this Annual Report. We do not undertake to publicly update or revise our forward-looking statements, except as required by law.</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RISK FACTORS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risks described below could materially and adversely affect our business, financial condition and results of operations. We could also be affected by additional risks that apply to all companies operating in the U.S., as well as other risks that are not presently known to us or that we currently consider to be immaterial. These Risk Factors should be carefully reviewed in conjunction with Management's Discussion and Analysis of Financial Condition and Results of Operations in Item 7 and our Financial Statements and Supplementary Data in Item 8 of this Report. For ease of review, the risk factors generally have been grouped into categories, but many of the risks described in a given category relate to multiple categories.</w:t>
      </w:r>
    </w:p>
    <w:p>
      <w:pPr>
        <w:spacing w:after="0" w:line="142" w:lineRule="exact"/>
        <w:rPr>
          <w:sz w:val="20"/>
          <w:szCs w:val="20"/>
          <w:color w:val="auto"/>
        </w:rPr>
      </w:pPr>
    </w:p>
    <w:p>
      <w:pPr>
        <w:ind w:right="3640" w:firstLine="3636"/>
        <w:spacing w:after="0" w:line="461" w:lineRule="auto"/>
        <w:rPr>
          <w:sz w:val="20"/>
          <w:szCs w:val="20"/>
          <w:color w:val="auto"/>
        </w:rPr>
      </w:pPr>
      <w:r>
        <w:rPr>
          <w:rFonts w:ascii="Arial" w:cs="Arial" w:eastAsia="Arial" w:hAnsi="Arial"/>
          <w:sz w:val="18"/>
          <w:szCs w:val="18"/>
          <w:b w:val="1"/>
          <w:bCs w:val="1"/>
          <w:u w:val="single" w:color="auto"/>
          <w:color w:val="auto"/>
        </w:rPr>
        <w:t xml:space="preserve">Risks Related to our Business and Operations </w:t>
      </w:r>
      <w:r>
        <w:rPr>
          <w:rFonts w:ascii="Arial" w:cs="Arial" w:eastAsia="Arial" w:hAnsi="Arial"/>
          <w:sz w:val="18"/>
          <w:szCs w:val="18"/>
          <w:b w:val="1"/>
          <w:bCs w:val="1"/>
          <w:i w:val="1"/>
          <w:iCs w:val="1"/>
          <w:color w:val="auto"/>
        </w:rPr>
        <w:t>Our advertising revenues may decline due to weakness in the retail sector.</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significant portion of our revenue is derived from advertising and a decline in the financial or economic conditions of our advertisers could alter discretionary spending by those advertisers. Our publications' and websites' advertisers are primarily retail businesses, which have been challenged in recent years by increased competition from online retailers. This trend has reduced and may continue to reduce advertising revenue from the brick-and-mortar retail sector. Specifically, advertising revenues may worsen if advertisers reduce their budgets, shift their spending priorities, are forced to consolidate, or cease operations.</w:t>
      </w:r>
    </w:p>
    <w:p>
      <w:pPr>
        <w:spacing w:after="0" w:line="14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ability to generate revenue is highly sensitive to the strength of the economies in which we operate and the demographics of the local communities that we serve.</w:t>
      </w:r>
    </w:p>
    <w:p>
      <w:pPr>
        <w:spacing w:after="0" w:line="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advertising and marketing services revenues and subscription revenues depend upon a number of factors, including the size and demographic characteristics of the local population; the general local economic conditions; and the economic condition of the retail segments in the communities that our publications serve. In the case of an economic downturn in a market, our publications, revenues, and profitability in that market could be adversely affected. Our advertising and marketing services revenues could also be affected by negative trends in the general economy that affect consumer spending. The advertisers in our newspapers, other publications, and related websites are primarily retail businesses that can be significantly affected by regional or national economic downturns and other developments. Declines in the U.S. economy could also significantly affect key advertising revenue categories, such as help wanted, real estate, and automotive.</w:t>
      </w:r>
    </w:p>
    <w:p>
      <w:pPr>
        <w:spacing w:after="0" w:line="158"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Uncertainty and adverse changes in the general economic conditions of markets in which we participate and increases in costs of raw materials, energy, labor and other factors may negatively affect our business.</w:t>
      </w:r>
    </w:p>
    <w:p>
      <w:pPr>
        <w:spacing w:after="0" w:line="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business and the companies with which we do business are subject to risks and uncertainties caused by factors beyond our control. Such factors include economic pressures related to high inflation, rising interest rates, economic weakness or recession, as well as geopolitical and public health events such as the wars in Ukraine and Israel, pandemics, and workforce expectations.</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past, these and other similar conditions and events have resulted in, and could lead to, a tightening of credit and capital markets, lower levels of liquidity, lower consumer and business spending, unemployment, declines in real estate values, increases in employee-related costs, and other adverse economic conditions. These changes may negatively affect the sales of our products, increase exposure to losses from bad debts, increase the cost and decrease the availability of financing, or increase costs associated with publishing and distributing our publications. In addition, printing and distribution costs, including the costs of paper and ink, are a significant expense for the Company. We expect increases in these costs in the near-term from various factors, including increases in the cost of raw materials, energy, labor, transportation, and distribution, due to inflation and other adverse factors on the economy.</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or timely report our financial results. As a result, current and potential stockholders could lose confidence in our financial reporting, which would harm the business and trading price of our common stock.</w:t>
      </w:r>
    </w:p>
    <w:p>
      <w:pPr>
        <w:spacing w:after="0" w:line="11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a public company, we are required to maintain effective internal controls for financial reporting and disclosure controls and procedures. In particular, Section 404 of the Sarbanes-Oxley Act requires us to perform system</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and process evaluations and testing of our internal controls over financial reporting to allow management to report on the effectiveness of our internal controls over financial reporting. Compliance with Section 404 may require us to incur substantial accounting expenses and expend significant management efforts. In the past, our testing has revealed and in the future may reveal deficiencies in our internal controls over financial reporting that are deemed to be material weaknesses. In the event we identify significant deficiencies or material weaknesses in our internal controls that we cannot remediate in a timely manner, the market price of our stock could decline if investors and others lose confidence in the reliability of our financial statements and we could be subject to sanctions or investigations by the SEC, Nasdaq, or other applicable regulatory authorities.</w:t>
      </w:r>
    </w:p>
    <w:p>
      <w:pPr>
        <w:spacing w:after="0" w:line="158"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The collectability of accounts receivable under adverse economic conditions could deteriorate to a greater extent than provided for in our financial statements and in our projections of future results.</w:t>
      </w:r>
    </w:p>
    <w:p>
      <w:pPr>
        <w:spacing w:after="0" w:line="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Adverse economic conditions in the U.S. may increase our exposure to losses resulting from financial distress, insolvency, and the potential bankruptcy of our advertising and marketing services customers. Our accounts receivable is stated at net estimated realizable value, and our allowance for credit losses has been determined based on several factors, including receivable agings, significant individual credit risk accounts, and historical experience. If such collectability estimates prove inaccurate, adjustments to future operating results could occur.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value of our intangible assets may become further impaired, depending upon future operating results.</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September 29, 2024, the carrying value of our goodwill was $328.0 million, the carrying value of mastheads was $10.9 million, and the carrying value of our amortizable intangible assets was $ 59.2 million. The indefinite-lived assets (goodwill and mastheads) are subject to annual impairment testing and more frequent testing upon the occurrence of certain events or significant changes in our circumstances that indicate all or a portion of their carrying values may no longer be recoverable, in which case a non-cash charge to earnings may be necessary in the relevant period. We may subsequently experience market pressures which could cause future cash flows to decline below our current expectations, or volatile equity markets could negatively impact market factors used in the impairment analysis, including earnings multiples, discount rates, and long-term growth rates. Any future evaluations requiring an asset impairment charge for goodwill or other intangible assets would adversely affect future reported results of operations and stockholders’ equity.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on goodwill and intangible assets, see Note 4 — Goodwill and other intangible assets.</w:t>
      </w:r>
    </w:p>
    <w:p>
      <w:pPr>
        <w:spacing w:after="0" w:line="187"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Attracting and retaining highly qualified personnel is difficult and costly, but the failure to do so could negatively affect our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Our businesses depend on the efforts, abilities, and talents of our executive team and other highly qualified employees who possess</w:t>
      </w:r>
    </w:p>
    <w:p>
      <w:pPr>
        <w:spacing w:after="0" w:line="5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substantial business, information technology, and operational knowledge. The market for such personnel, including technology-related, product and software development, data science, and digital marketing and sales roles is very competitive, and we cannot ensure success in retaining these employees or hiring and training replacement employees in a timely and cost-effective manner, particularly as we continue to</w:t>
      </w:r>
    </w:p>
    <w:p>
      <w:pPr>
        <w:jc w:val="both"/>
        <w:ind w:right="20"/>
        <w:spacing w:after="0" w:line="287" w:lineRule="auto"/>
        <w:rPr>
          <w:sz w:val="20"/>
          <w:szCs w:val="20"/>
          <w:color w:val="auto"/>
        </w:rPr>
      </w:pPr>
      <w:r>
        <w:rPr>
          <w:rFonts w:ascii="Arial" w:cs="Arial" w:eastAsia="Arial" w:hAnsi="Arial"/>
          <w:sz w:val="18"/>
          <w:szCs w:val="18"/>
          <w:color w:val="auto"/>
        </w:rPr>
        <w:t>focus on our digital products and services. These risks have been exacerbated by recent labor constraints, a trend of increasing employee turnover, and inflationary pressures on employee wages and benefits.</w:t>
      </w:r>
    </w:p>
    <w:p>
      <w:pPr>
        <w:spacing w:after="0" w:line="11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Natural disasters, extreme weather conditions, public health emergencies or other catastrophic events could negatively affect our business, financial condition, and results of operations.</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Natural disasters and extreme weather conditions, such as hurricanes, derecho windstorms, floods, earthquakes, wildfires; acts of terrorism or violence, including active-shooter situations; and public health issues, including pandemics and quarantines, could negatively affect our operations and financial performance. Such events could result in physical damage to our properties, disruptions to our IT systems, temporary or long-term disruption in the supply of products from our suppliers, and delays in the delivery of goods to our printing facilities. Public health issues, whether occurring in the U.S. or Canada, could disrupt our operations, the operations of suppliers, or have an adverse impact on consumer spending and confidence levels.</w:t>
      </w:r>
    </w:p>
    <w:p>
      <w:pPr>
        <w:spacing w:after="0" w:line="211"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b w:val="1"/>
          <w:bCs w:val="1"/>
          <w:i w:val="1"/>
          <w:iCs w:val="1"/>
          <w:color w:val="auto"/>
        </w:rPr>
        <w:t>Generative Artificial Intelligence (AI), as a new and emerging technology, subjects us to risks involving security, protection of intellectual property, ethical concerns, brand trust, reputational harm, legal liability, and the maintenance and growth of revenue streams.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 safe and responsible integration of AI functionality as it rapidly evolves presents emerging ethical and legal challenges, and the use of such technologies may result in diminished brand trust and reputational harm. Our competitors are integrating AI into their business practices which may result in competitive harm and the need to allocate significant resources to protect intellectual property. To responsibly remain competitive, we must develop and maintain our digital platform and ethically integrate new AI functionality in accordance with evolving compliance requirements. Developments in the AI field will simultaneously increase both competition and liability risks while also altering the market for our services. In addition, the use of AI by bad actors presents increasingly complex and sophisticated security threats to our confidential subscriber, employee, and Company data, and we must make additional efforts to maintain network security.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Risk Related to Competition from Digital Media</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operating revenue may be materially adversely affected if we do not successfully respond to the shift in newspaper readership and advertising expenditures away from traditional print media and towards digital media. Significant capital investments may be needed to respond to this shift.</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Currently, a primary source of revenue is from advertising and marketing services, which accounts for 45% of our revenue. Subscription revenue accounts for 46% of our revenue. The media publishing industry has experienced rapid evolution in consumer demands and expectations due to advances in technology, which have led to a proliferation of delivery methods for news and information. The number of consumers who access online services through devices other than personal computers, such as tablets and mobile devices, has increased dramatically in recent years and likely will continue to increase. The media publishing industry also continues to be affected by demographic shifts, with older generations preferring more traditional print newspaper delivery and younger generations consuming news through digital media. Also, the revenues generated by media publishing companies have been affected significantly by the shift in advertising expenditures towards digital media.</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future revenue performance of our digital business depends to a significant degree upon the growth, development, and management of our subscriber and advertising audiences. The growth of our digital business over the long term depends on various factors, including, among other things, the ability to:</w:t>
      </w:r>
    </w:p>
    <w:p>
      <w:pPr>
        <w:spacing w:after="0" w:line="13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increase digital audiences;</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Attract advertisers to our digital platforms;</w:t>
      </w:r>
    </w:p>
    <w:p>
      <w:pPr>
        <w:spacing w:after="0" w:line="192"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Tailor our products to efficiently and effectively deliver content and advertising on mobile devices;</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Maintain or increase the advertising rates on our digital platforms;</w:t>
      </w:r>
    </w:p>
    <w:p>
      <w:pPr>
        <w:spacing w:after="0" w:line="206"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Exploit new and existing technologies to distinguish our products and services from those of competitors and develop new content, products and services;</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Invest funds and resources in digital opportunities;</w:t>
      </w:r>
    </w:p>
    <w:p>
      <w:pPr>
        <w:spacing w:after="0" w:line="192"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Partner with, or use services from, providers that can assist us in effectively growing our digital business; and</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Create digital content and platforms that attract and engage audiences in our markets.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are unable to grow our digital audience, distinguish our products and services from those of our competitors or develop compelling new products and services that engage users across multiple platforms, then our business, financial condition, and results of operations may be adversely affected. Responding to the changes described above may require us to make significant capital investments and incur significant research and development costs related to building, maintaining, and evolving our technology infrastructure, and our ability to make the level of investments required may be limited.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See “Strategic Initiatives” in Item 1, included herein, for additional information on about our print and digital audiences.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compete with a large number of companies in the local media industry, including digital media businesses and, if we are unable to compete effectively, our advertising and subscription revenues may decline.</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compete for audiences and advertising revenue with newspapers and other media such as web-based digital platforms (e.g., Alphabet, Amazon, Meta, TikTok etc.), magazines, broadcast, cable and satellite television, radio, direct mail, and billboards. As the use of the internet and mobile devices has increased, we have lost some classified advertising and subscribers to online advertising businesses and free Internet sites that contain abbreviated versions of our publications. Some of our current and potential competitors have greater financial and other resources than we have. If we fail to compete effectively with competing newspapers and other media, our results of operations may be materially adversely affected.</w:t>
      </w:r>
    </w:p>
    <w:p>
      <w:pPr>
        <w:spacing w:after="0" w:line="142" w:lineRule="exact"/>
        <w:rPr>
          <w:sz w:val="20"/>
          <w:szCs w:val="20"/>
          <w:color w:val="auto"/>
        </w:rPr>
      </w:pPr>
    </w:p>
    <w:p>
      <w:pPr>
        <w:ind w:left="4140"/>
        <w:spacing w:after="0"/>
        <w:rPr>
          <w:sz w:val="20"/>
          <w:szCs w:val="20"/>
          <w:color w:val="auto"/>
        </w:rPr>
      </w:pPr>
      <w:r>
        <w:rPr>
          <w:rFonts w:ascii="Arial" w:cs="Arial" w:eastAsia="Arial" w:hAnsi="Arial"/>
          <w:sz w:val="18"/>
          <w:szCs w:val="18"/>
          <w:b w:val="1"/>
          <w:bCs w:val="1"/>
          <w:u w:val="single" w:color="auto"/>
          <w:color w:val="auto"/>
        </w:rPr>
        <w:t>Risks Related to Our Indebtedness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materially and adversely affect our business or financial condition.</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current indebtedness, and any future debt incurred, could have significant consequences on our future operations, including making it more difficult to satisfy our debt obligations and meet our operational goals. Our entire outstanding indebtedness is encompassed in a 25-year term loan ("Term Loan") with BH Finance LLC, a Nebraska limited liability company affiliated with Berkshire Hathaway, Inc. ("BH Finance"), which was part of a broader comprehensive refinancing of all of our then-outstanding debt, including a Credit Agreement, dated January 29, 2020 (collectively, the "2020 Refinancing").</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its inception, the aggregate principal amount and applicable interest rate of the Term Loan was $576.0 million and 9% annual rate, respectively, the proceeds of which were used to refinance our then-outstanding debt and fund the acquisition of BH Media and Buffalo News. The Term Loan is collateralized by all Company assets. Currently, the Term Note has an aggregate principal outstanding amount of $445.9 million. Our ability to make scheduled payments depends on our financial condition and operating performance, which are subject to prevailing economic and competitive conditions and to certain financial, business, competitive, legislative, regulatory, and other factors beyond our control. We may be unable to maintain a level of cash flow sufficient to permit us to pay the principal and interest on our debt.</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If our cash flow and capital resources are insufficient to fund our debt obligations, we could face liquidity issues and be forced to reduce or delay investments, acquisitions, and capital expenditures or sell assets or operations, seek additional capital or restructure or refinance our indebtedness. We cannot assure investors we would be able to take any of these alternative actions, such actions would be permitted under the terms of the Credit Agreement, and, even if successful, that such actions would permit us to meet our scheduled debt service obligations.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2020 Refinancing terms impose operating and financial restrictions, including restrictions on incurring additional indebtedness, creating certain liens, making certain investments or acquisitions, issuing dividends, repurchasing shares of Company stock, and engaging in other capital transactions. A failure to satisfy out debt service obligations on the Term Loan could give rise to default. Moreover, these restrictions limit our flexibility in planning for or reacting to changes in our business, the economy, in general, and the economies in which we operate, which, in turn increases our vulnerability to adverse financial consequences related to such changes.</w:t>
      </w:r>
    </w:p>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failure to satisfy our debt service obligations on the Term Loan could give rise to default and, in turn, the right of our lender to accelerate our indebtedness, making all principal and interest becoming due and payable.</w:t>
      </w:r>
    </w:p>
    <w:p>
      <w:pPr>
        <w:spacing w:after="0" w:line="11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Certain actions, including our ability to incur additional indebtedness, require the consent of our lender which, if not provided, would limit our ability to take advantage of future opportunities.</w:t>
      </w:r>
    </w:p>
    <w:p>
      <w:pPr>
        <w:spacing w:after="0" w:line="16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terms of the 2020 Refinancing, limit our ability to take certain actions without requisite lender approval and modification of the loan agreements. These limitations include restrictions on incurring additional indebtedness, creating certain liens, making certain investments or acquisitions, issuing dividends, repurchasing shares of Company stock, and engaging in other capital transactions. While we have an established relationship with BH Finance, whose priorities and interests are familiar to us, there is no assurance BH Finance will approve or consent to our activities, even if the activities are in the best interests of our stockholders. If we are unable to</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secure the required consent of BH Finance, our ability to take advantage of future opportunities, including acquisition or financing opportunities, could be restricted.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Risks Related to Cybersecurity</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business, operating results, and reputation may be negatively impacted, and we may be subject to legal and regulatory claims if there is a loss, destruction, disclosure, misappropriation, or alteration of or unauthorized access to data owned or maintained by us, or if we are the subject of a significant data breach or cyberattack.</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rely on our information technology and communications systems to manage our business data, including communications, news and advertising content, digital products, order entry, fulfillment and other business processes. These technologies and systems also help us manage many of our internal controls over financial reporting, disclosure controls and procedures and financial systems. Attempts to compromise information technology and communications systems occur regularly across many industries and sectors, and we may be vulnerable to security breaches resulting from accidental events (such as human error) or deliberate attacks. Moreover, the techniques used to attempt attacks and the perpetrators of such attacks are constantly expanding. We face threats both from use of malicious code (such as malware, viruses, and ransomware), employee theft or misuse, advanced persistent threats, and phishing and denial-of-service attacks. The Company has complied with all applicable legal requirements relating to this activity. As cyberattacks become increasingly sophisticated, and as tools and resources become more readily available to malicious third parties, the Company will incur increased costs to secure its technology environment and there can be no guarantee that the Company’s and our third-party vendors’ actions, security measures and controls designed to prevent, detect or respond to security breaches, to limit access to data, to prevent destruction, alteration, or exfiltration of data, or to limit the negative impact from such attacks, can provide absolute security against compromise. As a result, our business data, communications, news and advertising content, digital products, order entry, fulfillment and other business processes may be lost, destroyed, disclosed, misappropriated, altered or accessed without consent and various controls, automated procedures and financial systems could be compromised.</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significant security breach or other successful attack could result in significant remediation costs, including repairing system damage, engaging third-party experts, deploying additional personnel or vendor support, training employees, and compensation or incentives offered to third parties whose data has been compromised. These incidents may also lead to lost revenues resulting from a loss in competitive advantage due to the unauthorized disclosure, alteration, destruction or use of business data, the failure to retain or attract customers, the disruption of critical business processes or systems, and the diversion of management’s attention and resources. Moreover, such incidents may result in adverse media coverage, which may harm our reputation. These incidents may also lead to legal claims or proceedings, including regulatory investigations and actions and private lawsuits, and related legal fees, as well as potential settlements, judgments and fines. We maintain insurance, but the coverage and limits of our insurance policies may not be adequate to reimburse us for losses caused by security breaches.</w:t>
      </w:r>
    </w:p>
    <w:p>
      <w:pPr>
        <w:spacing w:after="0" w:line="14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possession and use of personal information and the use of payment cards by our customers present risks and expenses that could harm our business. Unauthorized access to or disclosure or manipulation of such data, whether through breach of our network security or otherwise, could expose us to liabilities and costly litigation and damage our reputation.</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online systems store and process confidential subscriber and other sensitive data, such as names, email addresses, addresses, and other personal information. Therefore, maintaining our network security is critical. Additionally, we depend on the security of our third-party service providers. Unauthorized use of or inappropriate access to our, or our third-party service providers’ networks, computer systems and services could potentially jeopardize the security of confidential information, including payment card (credit or debit) information, of our customers. Because the techniques used to obtain unauthorized access, disable or degrade service, or sabotage systems change frequently and often are not recognized until launched against a target, we or our third-party service providers may be unable to anticipate these techniques or to implement adequate preventative measures. A party that is able to circumvent our security measures could misappropriate our proprietary information or the information of our customers or users, cause interruption in our operations, or damage our computers or those of our customers or users. As a result of any such breaches, customers or users may assert claims of liability against us and these activities may subject us to legal claims, adversely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impact our reputation, and interfere with our ability to provide our products and services, all of which may have an adverse effect on our business, financial condition and results of operations. The coverage and limits of our insurance policies may not be adequate to reimburse us for losses caused by security breaches.</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significant number of our customers authorize us to bill their payment card accounts directly for all amounts charged by us. These customers provide payment card information and other personally identifiable information which, depending on the particular payment plan, may be maintained to facilitate future payment card transactions. Under payment card rules and our contracts with our card processors, if there is a breach of payment card information that we store, we could be liable to the banks that issue the payment cards for their related expenses and penalties. In addition, if we fail to follow payment card industry data security standards, even if there is no compromise of customer information, we could incur significant fines or lose our ability to give our customers the option of using payment cards. If we were unable to accept payment cards, our business would be seriously harmed.</w:t>
      </w:r>
    </w:p>
    <w:p>
      <w:pPr>
        <w:spacing w:after="0" w:line="1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can be no assurance that any security measures we, or our third-party service providers, take will be effective in preventing a data breach. We may need to expend significant resources to protect against security breaches or to address problems caused by breaches. If an actual or perceived breach of our security occurs, the perception of the effectiveness of our security measures could be harmed and we could lose customers or users. Failure to protect confidential customer data or to provide customers with adequate notice of our privacy policies could also subject us to liabilities imposed by United States federal and state regulatory agencies or courts. We could also be subject to evolving state laws that impose data breach notification requirements, specific data security obligations, or other consumer privacy-related requirements. Our failure to comply with any of these laws or regulations may have an adverse effect on our business, financial condition and results of operations.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Risks Related to Pension Liabilities</w:t>
      </w:r>
    </w:p>
    <w:p>
      <w:pPr>
        <w:spacing w:after="0" w:line="20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Sustained increases in funding requirements of our pension and postretirement obligations may reduce the cash available for our business.</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pension and postretirement plans invest in a variety of equity and fixed income securities. Future volatility and disruption in the securities markets could cause declines in the asset values of our pension and postretirement plans. In addition, a decrease in the discount rates or changes to mortality estimates and other assumptions used to determine the liability could increase the benefit obligation of the plans. Unfavorable changes to the plan assets and/or the benefit obligations could increase the level of required contributions above what is currently estimated, which could reduce the cash available for our business and debt service.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1B. UNRESOLVED STAFF COMMENTS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1C. CYBERSECURITY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Definitions (extracted from 17 CFR 229.106)</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adopted the definitions present in 17 CFR 229.106 for the following cybersecurity terms:</w:t>
      </w:r>
    </w:p>
    <w:p>
      <w:pPr>
        <w:spacing w:after="0" w:line="185" w:lineRule="exact"/>
        <w:rPr>
          <w:sz w:val="20"/>
          <w:szCs w:val="20"/>
          <w:color w:val="auto"/>
        </w:rPr>
      </w:pPr>
    </w:p>
    <w:p>
      <w:pPr>
        <w:jc w:val="both"/>
        <w:ind w:left="660" w:hanging="328"/>
        <w:spacing w:after="0" w:line="268" w:lineRule="auto"/>
        <w:tabs>
          <w:tab w:leader="none" w:pos="655" w:val="left"/>
        </w:tabs>
        <w:numPr>
          <w:ilvl w:val="1"/>
          <w:numId w:val="11"/>
        </w:numPr>
        <w:rPr>
          <w:rFonts w:ascii="Arial" w:cs="Arial" w:eastAsia="Arial" w:hAnsi="Arial"/>
          <w:sz w:val="18"/>
          <w:szCs w:val="18"/>
          <w:color w:val="auto"/>
        </w:rPr>
      </w:pPr>
      <w:r>
        <w:rPr>
          <w:rFonts w:ascii="Arial" w:cs="Arial" w:eastAsia="Arial" w:hAnsi="Arial"/>
          <w:sz w:val="18"/>
          <w:szCs w:val="18"/>
          <w:b w:val="1"/>
          <w:bCs w:val="1"/>
          <w:color w:val="auto"/>
        </w:rPr>
        <w:t>Cybersecurity Incident</w:t>
      </w:r>
      <w:r>
        <w:rPr>
          <w:rFonts w:ascii="Arial" w:cs="Arial" w:eastAsia="Arial" w:hAnsi="Arial"/>
          <w:sz w:val="18"/>
          <w:szCs w:val="18"/>
          <w:color w:val="auto"/>
        </w:rPr>
        <w:t>: An unauthorized occurrence, or a series of related unauthorized occurrences, on or conducted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systems that jeopardizes the confidentiality, integrity, or availability of information systems or any information residing therein.</w:t>
      </w:r>
    </w:p>
    <w:p>
      <w:pPr>
        <w:spacing w:after="0" w:line="130"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1"/>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Cybersecurity Threat: </w:t>
      </w:r>
      <w:r>
        <w:rPr>
          <w:rFonts w:ascii="Arial" w:cs="Arial" w:eastAsia="Arial" w:hAnsi="Arial"/>
          <w:sz w:val="18"/>
          <w:szCs w:val="18"/>
          <w:color w:val="auto"/>
        </w:rPr>
        <w:t>A cybersecurity threat as any potential unauthorized occurrence on or conducted through its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systems that may adversely affect the confidentiality, integrity, or availability of information systems or any information residing therein.</w:t>
      </w:r>
    </w:p>
    <w:p>
      <w:pPr>
        <w:spacing w:after="0" w:line="143"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1"/>
          <w:numId w:val="11"/>
        </w:numPr>
        <w:rPr>
          <w:rFonts w:ascii="Arial" w:cs="Arial" w:eastAsia="Arial" w:hAnsi="Arial"/>
          <w:sz w:val="18"/>
          <w:szCs w:val="18"/>
          <w:color w:val="auto"/>
        </w:rPr>
      </w:pPr>
      <w:r>
        <w:rPr>
          <w:rFonts w:ascii="Arial" w:cs="Arial" w:eastAsia="Arial" w:hAnsi="Arial"/>
          <w:sz w:val="18"/>
          <w:szCs w:val="18"/>
          <w:b w:val="1"/>
          <w:bCs w:val="1"/>
          <w:color w:val="auto"/>
        </w:rPr>
        <w:t>Information Systems</w:t>
      </w:r>
      <w:r>
        <w:rPr>
          <w:rFonts w:ascii="Arial" w:cs="Arial" w:eastAsia="Arial" w:hAnsi="Arial"/>
          <w:sz w:val="18"/>
          <w:szCs w:val="18"/>
          <w:color w:val="auto"/>
        </w:rPr>
        <w:t>: Electronic information resources owned or used by the organization, including physical or virtual</w:t>
      </w:r>
      <w:r>
        <w:rPr>
          <w:rFonts w:ascii="Arial" w:cs="Arial" w:eastAsia="Arial" w:hAnsi="Arial"/>
          <w:sz w:val="18"/>
          <w:szCs w:val="18"/>
          <w:b w:val="1"/>
          <w:bCs w:val="1"/>
          <w:color w:val="auto"/>
        </w:rPr>
        <w:t xml:space="preserve"> </w:t>
      </w:r>
      <w:r>
        <w:rPr>
          <w:rFonts w:ascii="Arial" w:cs="Arial" w:eastAsia="Arial" w:hAnsi="Arial"/>
          <w:sz w:val="18"/>
          <w:szCs w:val="18"/>
          <w:color w:val="auto"/>
        </w:rPr>
        <w:t>infrastructure controlled by such information resources, or components thereof, organized for the collection, processing, maintenance, use, sharing, dissemination, or disposition of information to maintain or support its operations.</w:t>
      </w:r>
    </w:p>
    <w:p>
      <w:pPr>
        <w:spacing w:after="0" w:line="130" w:lineRule="exact"/>
        <w:rPr>
          <w:rFonts w:ascii="Arial" w:cs="Arial" w:eastAsia="Arial" w:hAnsi="Arial"/>
          <w:sz w:val="18"/>
          <w:szCs w:val="18"/>
          <w:color w:val="auto"/>
        </w:rPr>
      </w:pPr>
    </w:p>
    <w:p>
      <w:pPr>
        <w:ind w:left="280" w:hanging="272"/>
        <w:spacing w:after="0"/>
        <w:tabs>
          <w:tab w:leader="none" w:pos="2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Risk Management and Strategy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Processes for Assessing, Identifying, and Managing Cybersecurity Risks</w:t>
      </w:r>
      <w:r>
        <w:rPr>
          <w:rFonts w:ascii="Arial" w:cs="Arial" w:eastAsia="Arial" w:hAnsi="Arial"/>
          <w:sz w:val="18"/>
          <w:szCs w:val="18"/>
          <w:color w:val="auto"/>
        </w:rPr>
        <w:t>:</w:t>
      </w:r>
    </w:p>
    <w:p>
      <w:pPr>
        <w:spacing w:after="0" w:line="198"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The Company has established processes to assess, identify, and manage material risks arising from cybersecurity threats. These processes are integrated into the Company's' overall risk management system. Specifically:</w:t>
      </w:r>
    </w:p>
    <w:p>
      <w:pPr>
        <w:spacing w:after="0" w:line="112" w:lineRule="exact"/>
        <w:rPr>
          <w:sz w:val="20"/>
          <w:szCs w:val="20"/>
          <w:color w:val="auto"/>
        </w:rPr>
      </w:pPr>
    </w:p>
    <w:p>
      <w:pPr>
        <w:ind w:left="660" w:right="20" w:hanging="328"/>
        <w:spacing w:after="0" w:line="28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addition of an experienced Chief Information Security Officer ("CISO") with over 25 years of experience to lead the IT Cybersecurity and Compliance team.</w:t>
      </w:r>
    </w:p>
    <w:p>
      <w:pPr>
        <w:spacing w:after="0" w:line="11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Yearly risk assessment designed to help identify material cybersecurity risks to our Information Systems and Data.</w:t>
      </w:r>
    </w:p>
    <w:p>
      <w:pPr>
        <w:spacing w:after="0" w:line="1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security incident response team that is responsible for managing our cybersecurity risk, security controls, response, and reporting cybersecurity incidents.</w:t>
      </w:r>
    </w:p>
    <w:p>
      <w:pPr>
        <w:spacing w:after="0" w:line="11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cyber and data security incident response plan with policies and procedures for identifying, managing, and recovering from cybersecurity incidents, including escalating tiers of notification and reporting depending on an incident's nature and severity.</w:t>
      </w:r>
    </w:p>
    <w:p>
      <w:pPr>
        <w:spacing w:after="0" w:line="11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use of third-party service providers, where appropriate, to manage, assess, test, and assist with aspects of our security controls, such as:</w:t>
      </w:r>
    </w:p>
    <w:p>
      <w:pPr>
        <w:spacing w:after="0" w:line="125" w:lineRule="exact"/>
        <w:rPr>
          <w:rFonts w:ascii="Arial" w:cs="Arial" w:eastAsia="Arial" w:hAnsi="Arial"/>
          <w:sz w:val="18"/>
          <w:szCs w:val="18"/>
          <w:color w:val="auto"/>
        </w:rPr>
      </w:pPr>
    </w:p>
    <w:p>
      <w:pPr>
        <w:ind w:left="1300" w:right="20" w:hanging="320"/>
        <w:spacing w:after="0" w:line="287" w:lineRule="auto"/>
        <w:tabs>
          <w:tab w:leader="none" w:pos="1323" w:val="left"/>
        </w:tabs>
        <w:numPr>
          <w:ilvl w:val="1"/>
          <w:numId w:val="12"/>
        </w:numPr>
        <w:rPr>
          <w:rFonts w:ascii="Arial" w:cs="Arial" w:eastAsia="Arial" w:hAnsi="Arial"/>
          <w:sz w:val="18"/>
          <w:szCs w:val="18"/>
          <w:color w:val="auto"/>
        </w:rPr>
      </w:pPr>
      <w:r>
        <w:rPr>
          <w:rFonts w:ascii="Arial" w:cs="Arial" w:eastAsia="Arial" w:hAnsi="Arial"/>
          <w:sz w:val="18"/>
          <w:szCs w:val="18"/>
          <w:color w:val="auto"/>
        </w:rPr>
        <w:t>24/7 Security Operations Center Managed Services ("SOC") to monitor our cyber environment, correlate logs from all technology assets to identify potential signs of compromise and perform threat hunt exercises.</w:t>
      </w:r>
    </w:p>
    <w:p>
      <w:pPr>
        <w:spacing w:after="0" w:line="112" w:lineRule="exact"/>
        <w:rPr>
          <w:rFonts w:ascii="Arial" w:cs="Arial" w:eastAsia="Arial" w:hAnsi="Arial"/>
          <w:sz w:val="18"/>
          <w:szCs w:val="18"/>
          <w:color w:val="auto"/>
        </w:rPr>
      </w:pPr>
    </w:p>
    <w:p>
      <w:pPr>
        <w:ind w:left="1300" w:hanging="320"/>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Enterprise-grade email security system managed services.</w:t>
      </w:r>
    </w:p>
    <w:p>
      <w:pPr>
        <w:spacing w:after="0" w:line="184" w:lineRule="exact"/>
        <w:rPr>
          <w:rFonts w:ascii="Arial" w:cs="Arial" w:eastAsia="Arial" w:hAnsi="Arial"/>
          <w:sz w:val="18"/>
          <w:szCs w:val="18"/>
          <w:color w:val="auto"/>
        </w:rPr>
      </w:pPr>
    </w:p>
    <w:p>
      <w:pPr>
        <w:ind w:left="1300" w:hanging="320"/>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Perform penetration tests, vulnerability assessments, and vulnerability scans of our customer-facing sites, among others.</w:t>
      </w:r>
    </w:p>
    <w:p>
      <w:pPr>
        <w:spacing w:after="0" w:line="198" w:lineRule="exact"/>
        <w:rPr>
          <w:rFonts w:ascii="Arial" w:cs="Arial" w:eastAsia="Arial" w:hAnsi="Arial"/>
          <w:sz w:val="18"/>
          <w:szCs w:val="18"/>
          <w:color w:val="auto"/>
        </w:rPr>
      </w:pPr>
    </w:p>
    <w:p>
      <w:pPr>
        <w:ind w:left="1300" w:hanging="320"/>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Prevention of denial-of-service attacks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Cybersecurity insurance designed to reduce the risk of loss resulting from cybersecurity incidents.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660" w:hanging="328"/>
        <w:spacing w:after="0" w:line="268" w:lineRule="auto"/>
        <w:tabs>
          <w:tab w:leader="none" w:pos="655" w:val="left"/>
        </w:tabs>
        <w:numPr>
          <w:ilvl w:val="1"/>
          <w:numId w:val="13"/>
        </w:numPr>
        <w:rPr>
          <w:rFonts w:ascii="Arial" w:cs="Arial" w:eastAsia="Arial" w:hAnsi="Arial"/>
          <w:sz w:val="18"/>
          <w:szCs w:val="18"/>
          <w:color w:val="auto"/>
        </w:rPr>
      </w:pPr>
      <w:r>
        <w:rPr>
          <w:rFonts w:ascii="Arial" w:cs="Arial" w:eastAsia="Arial" w:hAnsi="Arial"/>
          <w:sz w:val="18"/>
          <w:szCs w:val="18"/>
          <w:color w:val="auto"/>
        </w:rPr>
        <w:t>Policies and procedures related to cybersecurity matters, including but not limited to Acceptable Standards of Use of Technology Systems, Confidential/Sensitive Information and Credit Card Handling Policy, encryption standards, antivirus protection, wireless and remote access, multi-factor authentication, access and change control, and physical security.</w:t>
      </w:r>
    </w:p>
    <w:p>
      <w:pPr>
        <w:spacing w:after="0" w:line="143" w:lineRule="exact"/>
        <w:rPr>
          <w:rFonts w:ascii="Arial" w:cs="Arial" w:eastAsia="Arial" w:hAnsi="Arial"/>
          <w:sz w:val="18"/>
          <w:szCs w:val="18"/>
          <w:color w:val="auto"/>
        </w:rPr>
      </w:pPr>
    </w:p>
    <w:p>
      <w:pPr>
        <w:ind w:left="660" w:hanging="328"/>
        <w:spacing w:after="0" w:line="287" w:lineRule="auto"/>
        <w:tabs>
          <w:tab w:leader="none" w:pos="655" w:val="left"/>
        </w:tabs>
        <w:numPr>
          <w:ilvl w:val="1"/>
          <w:numId w:val="13"/>
        </w:numPr>
        <w:rPr>
          <w:rFonts w:ascii="Arial" w:cs="Arial" w:eastAsia="Arial" w:hAnsi="Arial"/>
          <w:sz w:val="18"/>
          <w:szCs w:val="18"/>
          <w:color w:val="auto"/>
        </w:rPr>
      </w:pPr>
      <w:r>
        <w:rPr>
          <w:rFonts w:ascii="Arial" w:cs="Arial" w:eastAsia="Arial" w:hAnsi="Arial"/>
          <w:sz w:val="18"/>
          <w:szCs w:val="18"/>
          <w:color w:val="auto"/>
        </w:rPr>
        <w:t>Employee cybersecurity awareness by performing ongoing phishing exercises, and mandatory privacy and cybersecurity training (including spear phishing and other awareness training) for employees.</w:t>
      </w:r>
    </w:p>
    <w:p>
      <w:pPr>
        <w:spacing w:after="0" w:line="112" w:lineRule="exact"/>
        <w:rPr>
          <w:rFonts w:ascii="Arial" w:cs="Arial" w:eastAsia="Arial" w:hAnsi="Arial"/>
          <w:sz w:val="18"/>
          <w:szCs w:val="18"/>
          <w:color w:val="auto"/>
        </w:rPr>
      </w:pPr>
    </w:p>
    <w:p>
      <w:pPr>
        <w:ind w:left="280" w:hanging="272"/>
        <w:spacing w:after="0"/>
        <w:tabs>
          <w:tab w:leader="none" w:pos="2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Material Effects of Cybersecurity Threats</w:t>
      </w:r>
      <w:r>
        <w:rPr>
          <w:rFonts w:ascii="Arial" w:cs="Arial" w:eastAsia="Arial" w:hAnsi="Arial"/>
          <w:sz w:val="18"/>
          <w:szCs w:val="18"/>
          <w:color w:val="auto"/>
        </w:rPr>
        <w:t>:</w:t>
      </w:r>
    </w:p>
    <w:p>
      <w:pPr>
        <w:spacing w:after="0" w:line="18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Company consistently identifies and evaluates cybersecurity threats that could significantly impact our business strategy, financial condition, and operational results. As of fiscal 2024 year-end, no significant cybersecurity threats or incidents have materially impacted our strategy or operational results.</w:t>
      </w:r>
    </w:p>
    <w:p>
      <w:pPr>
        <w:spacing w:after="0" w:line="144"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color w:val="auto"/>
        </w:rPr>
        <w:t>For a description of the risks related to cybersecurity that may materially affect us and how they may do so, see the “Risk Factors— Risks Related to Cybersecurity” section of this Report.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Governance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Board of Directors Oversight</w:t>
      </w:r>
      <w:r>
        <w:rPr>
          <w:rFonts w:ascii="Arial" w:cs="Arial" w:eastAsia="Arial" w:hAnsi="Arial"/>
          <w:sz w:val="18"/>
          <w:szCs w:val="18"/>
          <w:color w:val="auto"/>
        </w:rPr>
        <w:t>:</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Board of Directors plays a crucial role in overseeing the Company's management of cybersecurity risks. The Audit and Risk Management Committee is specifically tasked with this responsibility, and it regularly reports to our Board regarding its activities, including those related to cybersecurity risk management. Our Board also receives periodic briefings from management on our cybersecurity risk management program, including presentations on cybersecurity topics from our Chief Transformation Officer, Chief Information Officer, internal information security team, and third-party experts.</w:t>
      </w:r>
    </w:p>
    <w:p>
      <w:pPr>
        <w:spacing w:after="0" w:line="13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These briefings cover the current threat landscape, ongoing cybersecurity initiatives, and the Company's response to significant incidents.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Management’s Role in Cybersecurity Risk Management</w:t>
      </w:r>
      <w:r>
        <w:rPr>
          <w:rFonts w:ascii="Arial" w:cs="Arial" w:eastAsia="Arial" w:hAnsi="Arial"/>
          <w:sz w:val="18"/>
          <w:szCs w:val="18"/>
          <w:color w:val="auto"/>
        </w:rPr>
        <w: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Management is actively involved in assessing and managing material risks from cybersecurity threats. The following processes are in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pacing w:after="0" w:line="167" w:lineRule="exact"/>
        <w:rPr>
          <w:sz w:val="20"/>
          <w:szCs w:val="20"/>
          <w:color w:val="auto"/>
        </w:rPr>
      </w:pPr>
    </w:p>
    <w:p>
      <w:pPr>
        <w:jc w:val="both"/>
        <w:ind w:left="660" w:hanging="328"/>
        <w:spacing w:after="0" w:line="25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Responsible Positions/Committees: The Chief Transformation Officer, Chief Information Officer, and Chief Information Security Officer are responsible for assessing and managing cybersecurity risks. The individuals in these roles possess extensive expertise in cybersecurity. Specifically, the Chief Transformation Officer has over 30 years of experience in extensive technology and executive leadership experience across diverse industries, the Chief Information Officer has over 25 years in Information Technology across multiple industries, and the Chief Information Security Officer has over 25 years in Security, Risk, Audit, and Compliance across various sectors, including both public and private.</w:t>
      </w:r>
    </w:p>
    <w:p>
      <w:pPr>
        <w:spacing w:after="0" w:line="141"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Monitoring and Response Processes: We have established processes to inform and monitor cybersecurity incidents for prevention, detection, and resolution using a 24/7 third-party SOC Managed Service. The SOC is responsible for providing alerts, updates, and remediation services as needed by monitoring all technology assets for potential signs of compromise and conducting threat hunt exercises.</w:t>
      </w:r>
    </w:p>
    <w:p>
      <w:pPr>
        <w:spacing w:after="0" w:line="149"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Reporting to the Board: Information about cybersecurity risks is regularly reported to the Board of Directors or its relevant committee. This reporting includes updates on the Company's cybersecurity risk profile, significant incidents, and the effectiveness of mitigation strategies.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 PROPERTIES</w:t>
      </w:r>
    </w:p>
    <w:p>
      <w:pPr>
        <w:spacing w:after="0" w:line="185"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Our executive offices are located in leased facilities at 4600 E. 53</w:t>
      </w:r>
      <w:r>
        <w:rPr>
          <w:rFonts w:ascii="Arial" w:cs="Arial" w:eastAsia="Arial" w:hAnsi="Arial"/>
          <w:sz w:val="22"/>
          <w:szCs w:val="22"/>
          <w:color w:val="auto"/>
          <w:vertAlign w:val="superscript"/>
        </w:rPr>
        <w:t>rd</w:t>
      </w:r>
      <w:r>
        <w:rPr>
          <w:rFonts w:ascii="Arial" w:cs="Arial" w:eastAsia="Arial" w:hAnsi="Arial"/>
          <w:sz w:val="17"/>
          <w:szCs w:val="17"/>
          <w:color w:val="auto"/>
        </w:rPr>
        <w:t xml:space="preserve"> Street, Davenport, Iowa. The initial lease term expires August 1, 2029.</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We have 17 print sites which print most of our dailies with the exception of 11 that are printed at third-party printers.</w:t>
      </w:r>
    </w:p>
    <w:p>
      <w:pPr>
        <w:spacing w:after="0" w:line="19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Our newspapers and other publications have formal or informal backup arrangements for printing in the event of a disruption in production capability.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LEGAL PROCEEDINGS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involved in a variety of legal actions that arise in the normal course of business. Insurance coverage mitigates potential loss for certain of these matters. While we are unable to predict the ultimate outcome of these legal actions, it is our opinion that the disposition of these matters will not have a material adverse effect on our Consolidated Financial Statements, taken as a whole.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named as a defendant by a group of Plaintiffs acting on behalf of a proposed class of digital subscribers in a lawsuit in</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2022. The lawsuit alleged that the Company violated the Video Privacy Protection Act (“VPPA”) by using pixels to track subscribers’ video viewing activity on Company websites and sharing it with Meta without consent.</w:t>
      </w:r>
    </w:p>
    <w:p>
      <w:pPr>
        <w:spacing w:after="0" w:line="19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has agreed to a preliminary settlement with the Plaintiffs for $9.5 million, subject to required court approval. The Company expects the court approvals to be completed within the next 6 months. The entire settlement amount will be paid by the Company’s insurance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carriers.</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settlement liability and insurance receivable are recorded within “Compensation and other accrued liabilities” and “Prepaids and other” on the Consolidated Balance Sheets, respectively.</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MINE SAFETY DISCLOSURES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5. MARKET FOR THE REGISTRANT'S COMMON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RELATED STOCKHOLDER MATTERS AND ISSUER PURCHASES OF EQUITY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Nasdaq.</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At November 30, 2024, we had 3,968 registered holders of record of our Common Stock.</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Credit Agreement restricts us from paying dividends on our Common Stock. This restriction does not apply to dividends issued with the Company's Equity Interests or from the proceeds of a sale of the Company's Equity Interest. See Note 5 — Debt, of the Notes to Consolidated Financial Statements, included herein.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PRESENTATION</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graph compares the percentage change in the cumulative total return of the Company, the Standard &amp; Poor's 500 Stock Index, and a peer group index, in each case for the five years ended September 29, 2024 (with September 29, 2019, as the measurement point). Total return is measured by dividing (a) the sum of (i) the cumulative amount of dividends declared for the measurement period, assuming dividend reinvestment and (ii) the difference between the issuer's share price at the end and the beginning of the measurement period, by (b) the share price at the beginning of the measurement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108585</wp:posOffset>
            </wp:positionV>
            <wp:extent cx="5657850" cy="4705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470598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ITEM 6. RESERVED</w:t>
      </w:r>
    </w:p>
    <w:p>
      <w:pPr>
        <w:spacing w:after="0" w:line="198"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ITEM 7. 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6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following discussion includes comments and analysis relating to our results of operations and financial condition as of and for the year ended September 29, 2024, and for fiscal years 2023 and 2022. This discussion should be read in conjunction with the Consolidated Financial Statements and related Notes thereto, included herein.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about future events that affect the amounts reported in the financial statements and accompanying notes. Actual results could differ significantly from those estimates. We believe the following discussion addresses our most critical accounting estimates, which are those that are important to the presentation of our financial condition and results of operations and require management's most subjective and complex judgments.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Intangible Assets, Other Than Goodwill</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Local mastheads (e.g., publishing periodical titles, web site domain names, and trade names) are not subject to amortization. Non-amortized intangible assets are tested for impairment annually on the first day of the fourth fiscal quarter or more frequently if events or changes in circumstances suggest the asset might be impaired.</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quantitative impairment test consists of comparing the fair value of each masthead with its carrying amount. We use a relief from royalty approach which utilizes a discounted cash flow model to determine the fair value of each masthead. Management's judgments and estimates of future operating results in determining the intangibles fair values are consistently applied to each underlying business in determining the fair value of each intangible asset. In 2024, 2023, and 2022, we recognized impairment charges of $7.8 million, $7.7 million, and $14.2 million, respectively. As of September 29, 2024 the masthead carrying value is $10.9 million.</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amortizable intangible assets consist mainly of customer relationships including subscriber lists and advertiser relationships. These asset values are amortized systematically over their estimated useful lives. Intangible assets subject to amortization are tested for recoverability whenever events or changes in circumstances indicate that their carrying amounts may not be recoverable. The carrying amount of each asset group is not recoverable if it exceeds the sum of the undiscounted cash flows expected to result from the use of such asset group. There were no indicators of impairment on intangible assets subject to amortization in 2024, 2023 or 2022.</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quantitative impairment analysis includes several inputs that are considered estimates, these include royalty rates, discount rates, five-year revenue forecast, and long term growth rates. All of these estimates are subject to uncertainty as future results may or may not be achieved. In 2024, the royalty rates utilized a range from 0% to 1.0%; a 50-basis point decrease in royalty rates would result in an additional $4.6 million of impairment. The Company’s discount rate utilized in the analysis has ranged from 11.0% in 2022 to 12.5% in 2024, depending on market conditions. Increasing the discount rate by 100 basis points would result in an additional $0.1 million of impairment. The Company has had various revenue forecasts utilized in the analysis over different years.</w:t>
      </w:r>
    </w:p>
    <w:p>
      <w:pPr>
        <w:spacing w:after="0" w:line="15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Future decreases in our market value, or significant differences in revenue, expenses or cash flows from estimates used to determine fair value, could result in additional intangible asset impairment charges in the future.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related to the Company's Goodwill impairment analysis, refer to Note 4 to the Consolidated Financial Statements.</w:t>
      </w:r>
    </w:p>
    <w:p>
      <w:pPr>
        <w:spacing w:after="0" w:line="18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Pension, Postretirement and Postemployment Benefit Plans</w:t>
      </w:r>
    </w:p>
    <w:p>
      <w:pPr>
        <w:spacing w:after="0" w:line="19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along with our subsidiaries, have various defined benefit retirement plans, postretirement plans and postemployment plans, under which substantially all of the benefits have been frozen in previous years.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account for our pension, postretirement and postemployment plans in accordance with the applicable accounting guidance, which requires us to include the funded status of our pension plans in our balance sheets and to recognize, as a component of other comprehensive income (loss), the gains or losses that arise during the period but are not recognized in pension expense. The service cost component of net period benefit cost is reported on the Consolidated Statements of Income and Comprehensive Income and included in Compensation while all other components are included in other non-operating income/expense.</w:t>
      </w:r>
    </w:p>
    <w:p>
      <w:pPr>
        <w:spacing w:after="0" w:line="1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determination of pension and postretirement plan obligations and expense is based on a number of actuarial assumptions. Two critical assumptions are the discount rates applied to pension and postretirement plan obligations and the expected long-term rate of return on plan assets.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discount rate assumption is based on investment yields available at year-end on corporate bonds rated AA and above with a maturity to match the expected benefit payment stream. To determine the expected long-term rate of return of assets, we consider the current and expected asset allocations, as well as historical and expected returns on various categories of plan assets, input from the actuaries and investment consultants and long- term inflation assumptions. In 2024, we used an expected return of assets assumption of 5.0% for our pension plan assets and 6.0% for our postretirement and postemployment benefit plan assets.</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 50-basis point decrease in discount rates would result in an increase of $9.5 million to pension and $0.5 million to postretirement and postemployment benefits liabilities. A 50-basis point decrease in expected rate of return of assets results would result in an increase of $0.9 million to pension and $0.1 million postretirement and postemployment benefits expense.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Taxes</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subject to income taxes in the U.S. and record our tax provision for the anticipated tax consequences in our reported results of operations. Tax laws are complex and subject to different interpretations by the taxpayer and respective government taxing authorities. Significant management judgment is required in determining our provision for income taxes, deferred tax assets and liabilities, and the valuation allowance recorded against our net deferred tax assets, if any.</w:t>
      </w:r>
    </w:p>
    <w:p>
      <w:pPr>
        <w:spacing w:after="0" w:line="13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current and deferred income tax provisions are calculated based on estimates and assumptions that could differ from the actual results reflected in income tax returns filed during the subsequent year. These estimates are reviewed and adjusted, if needed, throughout the year. Adjustments between our estimates and the actual results of filed returns are recorded when identified.</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Deferred tax assets and liabilities are determined based on the difference between the financial statement and tax basis of assets and liabilities using currently enacted tax rates. Deferred income tax assets are recognized for deductible temporary differences and loss carryforwards and deferred income tax liabilities are recognized for taxable temporary differences. Temporary differences are the difference between the reported amounts of assets and liabilities and their tax basis. Deferred income tax assets are reduced by a valuation allowance when, in our opinion, it is more likely than not that some portion or all of the deferred income tax assets will not be realized. Deferred income tax assets and liabilities are adjusted for the effects of changes in tax laws and rates on the date of enactment.</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recognize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We record interest and penalties related to unrecognized tax benefits as a component of income tax expense.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STANDARDS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See Note 1 to the Consolidated Financial Statements for a description of new accounting standards issued and/or adopted in the year ended September 29, 2024.</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as reported in the Consolidated Financial Statements, are summarized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940" w:type="dxa"/>
            <w:vAlign w:val="bottom"/>
            <w:tcBorders>
              <w:top w:val="single" w:sz="8" w:color="auto"/>
            </w:tcBorders>
          </w:tcPr>
          <w:p>
            <w:pPr>
              <w:ind w:left="20"/>
              <w:spacing w:after="0" w:line="177" w:lineRule="exact"/>
              <w:rPr>
                <w:sz w:val="20"/>
                <w:szCs w:val="20"/>
                <w:color w:val="auto"/>
              </w:rPr>
            </w:pPr>
            <w:r>
              <w:rPr>
                <w:rFonts w:ascii="Arial" w:cs="Arial" w:eastAsia="Arial" w:hAnsi="Arial"/>
                <w:sz w:val="16"/>
                <w:szCs w:val="16"/>
                <w:i w:val="1"/>
                <w:iCs w:val="1"/>
                <w:color w:val="auto"/>
              </w:rPr>
              <w:t>(Thousands of Dollars, Except Per Common</w:t>
            </w:r>
          </w:p>
        </w:tc>
        <w:tc>
          <w:tcPr>
            <w:tcW w:w="1540" w:type="dxa"/>
            <w:vAlign w:val="bottom"/>
            <w:tcBorders>
              <w:top w:val="single" w:sz="8" w:color="auto"/>
            </w:tcBorders>
            <w:vMerge w:val="restart"/>
          </w:tcPr>
          <w:p>
            <w:pPr>
              <w:jc w:val="right"/>
              <w:ind w:right="310"/>
              <w:spacing w:after="0"/>
              <w:rPr>
                <w:sz w:val="20"/>
                <w:szCs w:val="20"/>
                <w:color w:val="auto"/>
              </w:rPr>
            </w:pPr>
            <w:r>
              <w:rPr>
                <w:rFonts w:ascii="Arial" w:cs="Arial" w:eastAsia="Arial" w:hAnsi="Arial"/>
                <w:sz w:val="18"/>
                <w:szCs w:val="18"/>
                <w:color w:val="auto"/>
              </w:rPr>
              <w:t>2024</w:t>
            </w:r>
          </w:p>
        </w:tc>
        <w:tc>
          <w:tcPr>
            <w:tcW w:w="1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2023</w:t>
            </w:r>
          </w:p>
        </w:tc>
        <w:tc>
          <w:tcPr>
            <w:tcW w:w="1860" w:type="dxa"/>
            <w:vAlign w:val="bottom"/>
            <w:tcBorders>
              <w:top w:val="single" w:sz="8" w:color="auto"/>
            </w:tcBorders>
            <w:vMerge w:val="restart"/>
          </w:tcPr>
          <w:p>
            <w:pPr>
              <w:jc w:val="right"/>
              <w:ind w:right="330"/>
              <w:spacing w:after="0"/>
              <w:rPr>
                <w:sz w:val="20"/>
                <w:szCs w:val="20"/>
                <w:color w:val="auto"/>
              </w:rPr>
            </w:pPr>
            <w:r>
              <w:rPr>
                <w:rFonts w:ascii="Arial" w:cs="Arial" w:eastAsia="Arial" w:hAnsi="Arial"/>
                <w:sz w:val="18"/>
                <w:szCs w:val="18"/>
                <w:color w:val="auto"/>
              </w:rPr>
              <w:t>Percent Change</w:t>
            </w:r>
          </w:p>
        </w:tc>
        <w:tc>
          <w:tcPr>
            <w:tcW w:w="1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2022</w:t>
            </w:r>
          </w:p>
        </w:tc>
        <w:tc>
          <w:tcPr>
            <w:tcW w:w="14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Percent Change</w:t>
            </w:r>
          </w:p>
        </w:tc>
        <w:tc>
          <w:tcPr>
            <w:tcW w:w="0" w:type="dxa"/>
            <w:vAlign w:val="bottom"/>
          </w:tcPr>
          <w:p>
            <w:pPr>
              <w:spacing w:after="0"/>
              <w:rPr>
                <w:sz w:val="1"/>
                <w:szCs w:val="1"/>
                <w:color w:val="auto"/>
              </w:rPr>
            </w:pPr>
          </w:p>
        </w:tc>
      </w:tr>
      <w:tr>
        <w:trPr>
          <w:trHeight w:val="215"/>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Share Data)</w:t>
            </w:r>
          </w:p>
        </w:tc>
        <w:tc>
          <w:tcPr>
            <w:tcW w:w="1540" w:type="dxa"/>
            <w:vAlign w:val="bottom"/>
            <w:tcBorders>
              <w:bottom w:val="single" w:sz="8" w:color="auto"/>
            </w:tcBorders>
            <w:vMerge w:val="continue"/>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86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9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5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140"/>
              <w:spacing w:after="0"/>
              <w:rPr>
                <w:sz w:val="20"/>
                <w:szCs w:val="20"/>
                <w:color w:val="auto"/>
              </w:rPr>
            </w:pPr>
            <w:r>
              <w:rPr>
                <w:rFonts w:ascii="Arial" w:cs="Arial" w:eastAsia="Arial" w:hAnsi="Arial"/>
                <w:sz w:val="18"/>
                <w:szCs w:val="18"/>
                <w:color w:val="auto"/>
              </w:rPr>
              <w:t>Print advertising revenue</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81,488</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125,804</w:t>
            </w:r>
          </w:p>
        </w:tc>
        <w:tc>
          <w:tcPr>
            <w:tcW w:w="1860" w:type="dxa"/>
            <w:vAlign w:val="bottom"/>
          </w:tcPr>
          <w:p>
            <w:pPr>
              <w:jc w:val="right"/>
              <w:ind w:right="330"/>
              <w:spacing w:after="0"/>
              <w:rPr>
                <w:sz w:val="20"/>
                <w:szCs w:val="20"/>
                <w:color w:val="auto"/>
              </w:rPr>
            </w:pPr>
            <w:r>
              <w:rPr>
                <w:rFonts w:ascii="Arial" w:cs="Arial" w:eastAsia="Arial" w:hAnsi="Arial"/>
                <w:sz w:val="18"/>
                <w:szCs w:val="18"/>
                <w:color w:val="auto"/>
              </w:rPr>
              <w:t>(35.2)%</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184,963</w:t>
            </w:r>
          </w:p>
        </w:tc>
        <w:tc>
          <w:tcPr>
            <w:tcW w:w="1420" w:type="dxa"/>
            <w:vAlign w:val="bottom"/>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175"/>
        </w:trPr>
        <w:tc>
          <w:tcPr>
            <w:tcW w:w="39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Digital advertising and marketing services</w:t>
            </w:r>
          </w:p>
        </w:tc>
        <w:tc>
          <w:tcPr>
            <w:tcW w:w="154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color w:val="auto"/>
              </w:rPr>
              <w:t>194,213</w:t>
            </w:r>
          </w:p>
        </w:tc>
        <w:tc>
          <w:tcPr>
            <w:tcW w:w="126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193,173</w:t>
            </w:r>
          </w:p>
        </w:tc>
        <w:tc>
          <w:tcPr>
            <w:tcW w:w="186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color w:val="auto"/>
              </w:rPr>
              <w:t>0.5 %</w:t>
            </w:r>
          </w:p>
        </w:tc>
        <w:tc>
          <w:tcPr>
            <w:tcW w:w="12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181,465</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43"/>
        </w:trPr>
        <w:tc>
          <w:tcPr>
            <w:tcW w:w="39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revenue</w:t>
            </w:r>
          </w:p>
        </w:tc>
        <w:tc>
          <w:tcPr>
            <w:tcW w:w="1540" w:type="dxa"/>
            <w:vAlign w:val="bottom"/>
            <w:tcBorders>
              <w:bottom w:val="single" w:sz="8" w:color="auto"/>
            </w:tcBorders>
            <w:vMerge w:val="continue"/>
            <w:shd w:val="clear" w:color="auto" w:fill="CCEEFF"/>
          </w:tcPr>
          <w:p>
            <w:pPr>
              <w:spacing w:after="0"/>
              <w:rPr>
                <w:sz w:val="21"/>
                <w:szCs w:val="21"/>
                <w:color w:val="auto"/>
              </w:rPr>
            </w:pPr>
          </w:p>
        </w:tc>
        <w:tc>
          <w:tcPr>
            <w:tcW w:w="1260" w:type="dxa"/>
            <w:vAlign w:val="bottom"/>
            <w:tcBorders>
              <w:bottom w:val="single" w:sz="8" w:color="auto"/>
            </w:tcBorders>
            <w:vMerge w:val="continue"/>
            <w:shd w:val="clear" w:color="auto" w:fill="CCEEFF"/>
          </w:tcPr>
          <w:p>
            <w:pPr>
              <w:spacing w:after="0"/>
              <w:rPr>
                <w:sz w:val="21"/>
                <w:szCs w:val="21"/>
                <w:color w:val="auto"/>
              </w:rPr>
            </w:pPr>
          </w:p>
        </w:tc>
        <w:tc>
          <w:tcPr>
            <w:tcW w:w="1860" w:type="dxa"/>
            <w:vAlign w:val="bottom"/>
            <w:tcBorders>
              <w:bottom w:val="single" w:sz="8" w:color="auto"/>
            </w:tcBorders>
            <w:vMerge w:val="continue"/>
            <w:shd w:val="clear" w:color="auto" w:fill="CCEEFF"/>
          </w:tcPr>
          <w:p>
            <w:pPr>
              <w:spacing w:after="0"/>
              <w:rPr>
                <w:sz w:val="21"/>
                <w:szCs w:val="21"/>
                <w:color w:val="auto"/>
              </w:rPr>
            </w:pPr>
          </w:p>
        </w:tc>
        <w:tc>
          <w:tcPr>
            <w:tcW w:w="1220" w:type="dxa"/>
            <w:vAlign w:val="bottom"/>
            <w:tcBorders>
              <w:bottom w:val="single" w:sz="8" w:color="auto"/>
            </w:tcBorders>
            <w:vMerge w:val="continue"/>
            <w:shd w:val="clear" w:color="auto" w:fill="CCEEFF"/>
          </w:tcPr>
          <w:p>
            <w:pPr>
              <w:spacing w:after="0"/>
              <w:rPr>
                <w:sz w:val="21"/>
                <w:szCs w:val="21"/>
                <w:color w:val="auto"/>
              </w:rPr>
            </w:pPr>
          </w:p>
        </w:tc>
        <w:tc>
          <w:tcPr>
            <w:tcW w:w="14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Advertising and marketing services revenue</w:t>
            </w:r>
          </w:p>
        </w:tc>
        <w:tc>
          <w:tcPr>
            <w:tcW w:w="15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275,701</w:t>
            </w: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318,977</w:t>
            </w:r>
          </w:p>
        </w:tc>
        <w:tc>
          <w:tcPr>
            <w:tcW w:w="1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(13.6)%</w:t>
            </w: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366,428</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3"/>
        </w:trPr>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Print subscription revenue</w:t>
            </w:r>
          </w:p>
        </w:tc>
        <w:tc>
          <w:tcPr>
            <w:tcW w:w="15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197,584</w:t>
            </w: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252,591</w:t>
            </w:r>
          </w:p>
        </w:tc>
        <w:tc>
          <w:tcPr>
            <w:tcW w:w="1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(21.8)%</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313,504</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Digital subscription revenue</w:t>
            </w:r>
          </w:p>
        </w:tc>
        <w:tc>
          <w:tcPr>
            <w:tcW w:w="15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84,331</w:t>
            </w: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60,700</w:t>
            </w:r>
          </w:p>
        </w:tc>
        <w:tc>
          <w:tcPr>
            <w:tcW w:w="1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38.9 %</w:t>
            </w: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40,120</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51.3 %</w:t>
            </w:r>
          </w:p>
        </w:tc>
        <w:tc>
          <w:tcPr>
            <w:tcW w:w="0" w:type="dxa"/>
            <w:vAlign w:val="bottom"/>
          </w:tcPr>
          <w:p>
            <w:pPr>
              <w:spacing w:after="0"/>
              <w:rPr>
                <w:sz w:val="1"/>
                <w:szCs w:val="1"/>
                <w:color w:val="auto"/>
              </w:rPr>
            </w:pPr>
          </w:p>
        </w:tc>
      </w:tr>
      <w:tr>
        <w:trPr>
          <w:trHeight w:val="223"/>
        </w:trPr>
        <w:tc>
          <w:tcPr>
            <w:tcW w:w="3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Subscription revenue</w:t>
            </w:r>
          </w:p>
        </w:tc>
        <w:tc>
          <w:tcPr>
            <w:tcW w:w="15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281,915</w:t>
            </w:r>
          </w:p>
        </w:tc>
        <w:tc>
          <w:tcPr>
            <w:tcW w:w="1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313,291</w:t>
            </w:r>
          </w:p>
        </w:tc>
        <w:tc>
          <w:tcPr>
            <w:tcW w:w="18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(10.0)%</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353,624</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3"/>
        </w:trPr>
        <w:tc>
          <w:tcPr>
            <w:tcW w:w="3940" w:type="dxa"/>
            <w:vAlign w:val="bottom"/>
          </w:tcPr>
          <w:p>
            <w:pPr>
              <w:ind w:left="140"/>
              <w:spacing w:after="0"/>
              <w:rPr>
                <w:sz w:val="20"/>
                <w:szCs w:val="20"/>
                <w:color w:val="auto"/>
              </w:rPr>
            </w:pPr>
            <w:r>
              <w:rPr>
                <w:rFonts w:ascii="Arial" w:cs="Arial" w:eastAsia="Arial" w:hAnsi="Arial"/>
                <w:sz w:val="18"/>
                <w:szCs w:val="18"/>
                <w:color w:val="auto"/>
              </w:rPr>
              <w:t>Print other revenue</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33,257</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39,508</w:t>
            </w:r>
          </w:p>
        </w:tc>
        <w:tc>
          <w:tcPr>
            <w:tcW w:w="1860" w:type="dxa"/>
            <w:vAlign w:val="bottom"/>
          </w:tcPr>
          <w:p>
            <w:pPr>
              <w:jc w:val="right"/>
              <w:ind w:right="330"/>
              <w:spacing w:after="0"/>
              <w:rPr>
                <w:sz w:val="20"/>
                <w:szCs w:val="20"/>
                <w:color w:val="auto"/>
              </w:rPr>
            </w:pPr>
            <w:r>
              <w:rPr>
                <w:rFonts w:ascii="Arial" w:cs="Arial" w:eastAsia="Arial" w:hAnsi="Arial"/>
                <w:sz w:val="18"/>
                <w:szCs w:val="18"/>
                <w:color w:val="auto"/>
              </w:rPr>
              <w:t>(15.8)%</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42,962</w:t>
            </w:r>
          </w:p>
        </w:tc>
        <w:tc>
          <w:tcPr>
            <w:tcW w:w="142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9"/>
        </w:trPr>
        <w:tc>
          <w:tcPr>
            <w:tcW w:w="39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Digital other revenue</w:t>
            </w:r>
          </w:p>
        </w:tc>
        <w:tc>
          <w:tcPr>
            <w:tcW w:w="15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20,507</w:t>
            </w:r>
          </w:p>
        </w:tc>
        <w:tc>
          <w:tcPr>
            <w:tcW w:w="1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19,362</w:t>
            </w:r>
          </w:p>
        </w:tc>
        <w:tc>
          <w:tcPr>
            <w:tcW w:w="18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5.9 %</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17,955</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23"/>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revenue</w:t>
            </w:r>
          </w:p>
        </w:tc>
        <w:tc>
          <w:tcPr>
            <w:tcW w:w="15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53,764</w:t>
            </w: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58,870</w:t>
            </w:r>
          </w:p>
        </w:tc>
        <w:tc>
          <w:tcPr>
            <w:tcW w:w="1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(8.7)%</w:t>
            </w: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60,917</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3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operating revenue</w:t>
            </w:r>
          </w:p>
        </w:tc>
        <w:tc>
          <w:tcPr>
            <w:tcW w:w="15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611,380</w:t>
            </w:r>
          </w:p>
        </w:tc>
        <w:tc>
          <w:tcPr>
            <w:tcW w:w="1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691,138</w:t>
            </w:r>
          </w:p>
        </w:tc>
        <w:tc>
          <w:tcPr>
            <w:tcW w:w="18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(11.5)%</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780,969</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5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15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234,581</w:t>
            </w: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266,907</w:t>
            </w:r>
          </w:p>
        </w:tc>
        <w:tc>
          <w:tcPr>
            <w:tcW w:w="1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(12.1)%</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317,789</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0"/>
        </w:trPr>
        <w:tc>
          <w:tcPr>
            <w:tcW w:w="3940" w:type="dxa"/>
            <w:vAlign w:val="bottom"/>
          </w:tcPr>
          <w:p>
            <w:pPr>
              <w:ind w:left="140"/>
              <w:spacing w:after="0"/>
              <w:rPr>
                <w:sz w:val="20"/>
                <w:szCs w:val="20"/>
                <w:color w:val="auto"/>
              </w:rPr>
            </w:pPr>
            <w:r>
              <w:rPr>
                <w:rFonts w:ascii="Arial" w:cs="Arial" w:eastAsia="Arial" w:hAnsi="Arial"/>
                <w:sz w:val="18"/>
                <w:szCs w:val="18"/>
                <w:color w:val="auto"/>
              </w:rPr>
              <w:t>Newsprint and ink</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16,813</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25,346</w:t>
            </w:r>
          </w:p>
        </w:tc>
        <w:tc>
          <w:tcPr>
            <w:tcW w:w="1860" w:type="dxa"/>
            <w:vAlign w:val="bottom"/>
          </w:tcPr>
          <w:p>
            <w:pPr>
              <w:jc w:val="right"/>
              <w:ind w:right="330"/>
              <w:spacing w:after="0"/>
              <w:rPr>
                <w:sz w:val="20"/>
                <w:szCs w:val="20"/>
                <w:color w:val="auto"/>
              </w:rPr>
            </w:pPr>
            <w:r>
              <w:rPr>
                <w:rFonts w:ascii="Arial" w:cs="Arial" w:eastAsia="Arial" w:hAnsi="Arial"/>
                <w:sz w:val="18"/>
                <w:szCs w:val="18"/>
                <w:color w:val="auto"/>
              </w:rPr>
              <w:t>(33.7)%</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30,101</w:t>
            </w:r>
          </w:p>
        </w:tc>
        <w:tc>
          <w:tcPr>
            <w:tcW w:w="142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operating expenses</w:t>
            </w:r>
          </w:p>
        </w:tc>
        <w:tc>
          <w:tcPr>
            <w:tcW w:w="15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301,950</w:t>
            </w: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323,067</w:t>
            </w:r>
          </w:p>
        </w:tc>
        <w:tc>
          <w:tcPr>
            <w:tcW w:w="1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(6.5)%</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344,905</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9"/>
        </w:trPr>
        <w:tc>
          <w:tcPr>
            <w:tcW w:w="39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27,616</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30,621</w:t>
            </w:r>
          </w:p>
        </w:tc>
        <w:tc>
          <w:tcPr>
            <w:tcW w:w="1860" w:type="dxa"/>
            <w:vAlign w:val="bottom"/>
          </w:tcPr>
          <w:p>
            <w:pPr>
              <w:jc w:val="right"/>
              <w:ind w:right="330"/>
              <w:spacing w:after="0"/>
              <w:rPr>
                <w:sz w:val="20"/>
                <w:szCs w:val="20"/>
                <w:color w:val="auto"/>
              </w:rPr>
            </w:pPr>
            <w:r>
              <w:rPr>
                <w:rFonts w:ascii="Arial" w:cs="Arial" w:eastAsia="Arial" w:hAnsi="Arial"/>
                <w:sz w:val="18"/>
                <w:szCs w:val="18"/>
                <w:color w:val="auto"/>
              </w:rPr>
              <w:t>(9.8)%</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36,544</w:t>
            </w:r>
          </w:p>
        </w:tc>
        <w:tc>
          <w:tcPr>
            <w:tcW w:w="142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176"/>
        </w:trPr>
        <w:tc>
          <w:tcPr>
            <w:tcW w:w="39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Assets loss on sales, impairments and</w:t>
            </w:r>
          </w:p>
        </w:tc>
        <w:tc>
          <w:tcPr>
            <w:tcW w:w="154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color w:val="auto"/>
              </w:rPr>
              <w:t>11,193</w:t>
            </w:r>
          </w:p>
        </w:tc>
        <w:tc>
          <w:tcPr>
            <w:tcW w:w="126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1,882</w:t>
            </w:r>
          </w:p>
        </w:tc>
        <w:tc>
          <w:tcPr>
            <w:tcW w:w="186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color w:val="auto"/>
              </w:rPr>
              <w:t>NM</w:t>
            </w:r>
          </w:p>
        </w:tc>
        <w:tc>
          <w:tcPr>
            <w:tcW w:w="12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9,716</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1540" w:type="dxa"/>
            <w:vAlign w:val="bottom"/>
            <w:vMerge w:val="continue"/>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1860" w:type="dxa"/>
            <w:vAlign w:val="bottom"/>
            <w:vMerge w:val="continue"/>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4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Restructuring costs and other</w:t>
            </w:r>
          </w:p>
        </w:tc>
        <w:tc>
          <w:tcPr>
            <w:tcW w:w="15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19,253</w:t>
            </w: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12,673</w:t>
            </w:r>
          </w:p>
        </w:tc>
        <w:tc>
          <w:tcPr>
            <w:tcW w:w="1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51.9 %</w:t>
            </w: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22,720</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23"/>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5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611,406</w:t>
            </w: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660,496</w:t>
            </w:r>
          </w:p>
        </w:tc>
        <w:tc>
          <w:tcPr>
            <w:tcW w:w="1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(7.4)%</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761,775</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Equity in earnings of associated companies</w:t>
            </w:r>
          </w:p>
        </w:tc>
        <w:tc>
          <w:tcPr>
            <w:tcW w:w="15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4,572</w:t>
            </w: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6,527</w:t>
            </w:r>
          </w:p>
        </w:tc>
        <w:tc>
          <w:tcPr>
            <w:tcW w:w="1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(30.0)%</w:t>
            </w: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5,657</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15.4 %</w:t>
            </w:r>
          </w:p>
        </w:tc>
        <w:tc>
          <w:tcPr>
            <w:tcW w:w="0" w:type="dxa"/>
            <w:vAlign w:val="bottom"/>
          </w:tcPr>
          <w:p>
            <w:pPr>
              <w:spacing w:after="0"/>
              <w:rPr>
                <w:sz w:val="1"/>
                <w:szCs w:val="1"/>
                <w:color w:val="auto"/>
              </w:rPr>
            </w:pPr>
          </w:p>
        </w:tc>
      </w:tr>
      <w:tr>
        <w:trPr>
          <w:trHeight w:val="223"/>
        </w:trPr>
        <w:tc>
          <w:tcPr>
            <w:tcW w:w="3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5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4,546</w:t>
            </w:r>
          </w:p>
        </w:tc>
        <w:tc>
          <w:tcPr>
            <w:tcW w:w="1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37,169</w:t>
            </w:r>
          </w:p>
        </w:tc>
        <w:tc>
          <w:tcPr>
            <w:tcW w:w="18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(87.8)%</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24,851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49.6 %</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Arial" w:cs="Arial" w:eastAsia="Arial" w:hAnsi="Arial"/>
                <w:sz w:val="18"/>
                <w:szCs w:val="18"/>
                <w:color w:val="auto"/>
              </w:rPr>
              <w:t>Non-operating income (expense):</w:t>
            </w:r>
          </w:p>
        </w:tc>
        <w:tc>
          <w:tcPr>
            <w:tcW w:w="15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15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(41,232)</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(41,471)</w:t>
            </w:r>
          </w:p>
        </w:tc>
        <w:tc>
          <w:tcPr>
            <w:tcW w:w="1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(0.6)%</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(41,770)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9"/>
        </w:trPr>
        <w:tc>
          <w:tcPr>
            <w:tcW w:w="3940" w:type="dxa"/>
            <w:vAlign w:val="bottom"/>
          </w:tcPr>
          <w:p>
            <w:pPr>
              <w:ind w:left="140"/>
              <w:spacing w:after="0"/>
              <w:rPr>
                <w:sz w:val="20"/>
                <w:szCs w:val="20"/>
                <w:color w:val="auto"/>
              </w:rPr>
            </w:pPr>
            <w:r>
              <w:rPr>
                <w:rFonts w:ascii="Arial" w:cs="Arial" w:eastAsia="Arial" w:hAnsi="Arial"/>
                <w:sz w:val="18"/>
                <w:szCs w:val="18"/>
                <w:color w:val="auto"/>
              </w:rPr>
              <w:t>Pension withdrawal cost</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(1,200)</w:t>
            </w:r>
          </w:p>
        </w:tc>
        <w:tc>
          <w:tcPr>
            <w:tcW w:w="1860" w:type="dxa"/>
            <w:vAlign w:val="bottom"/>
          </w:tcPr>
          <w:p>
            <w:pPr>
              <w:jc w:val="right"/>
              <w:ind w:right="330"/>
              <w:spacing w:after="0"/>
              <w:rPr>
                <w:sz w:val="20"/>
                <w:szCs w:val="20"/>
                <w:color w:val="auto"/>
              </w:rPr>
            </w:pPr>
            <w:r>
              <w:rPr>
                <w:rFonts w:ascii="Arial" w:cs="Arial" w:eastAsia="Arial" w:hAnsi="Arial"/>
                <w:sz w:val="18"/>
                <w:szCs w:val="18"/>
                <w:color w:val="auto"/>
              </w:rPr>
              <w:t>(100.0)%</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(2,335)</w:t>
            </w:r>
          </w:p>
        </w:tc>
        <w:tc>
          <w:tcPr>
            <w:tcW w:w="142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76"/>
        </w:trPr>
        <w:tc>
          <w:tcPr>
            <w:tcW w:w="39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Pension and OPEB related benefit (cost)</w:t>
            </w:r>
          </w:p>
        </w:tc>
        <w:tc>
          <w:tcPr>
            <w:tcW w:w="154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color w:val="auto"/>
              </w:rPr>
              <w:t>1,910</w:t>
            </w:r>
          </w:p>
        </w:tc>
        <w:tc>
          <w:tcPr>
            <w:tcW w:w="126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2,420</w:t>
            </w:r>
          </w:p>
        </w:tc>
        <w:tc>
          <w:tcPr>
            <w:tcW w:w="186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color w:val="auto"/>
              </w:rPr>
              <w:t>(21.1)%</w:t>
            </w:r>
          </w:p>
        </w:tc>
        <w:tc>
          <w:tcPr>
            <w:tcW w:w="12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19,022</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43"/>
        </w:trPr>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and other, net</w:t>
            </w:r>
          </w:p>
        </w:tc>
        <w:tc>
          <w:tcPr>
            <w:tcW w:w="1540" w:type="dxa"/>
            <w:vAlign w:val="bottom"/>
            <w:vMerge w:val="continue"/>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1860" w:type="dxa"/>
            <w:vAlign w:val="bottom"/>
            <w:vMerge w:val="continue"/>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4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Curtailment/Settlement gains</w:t>
            </w:r>
          </w:p>
        </w:tc>
        <w:tc>
          <w:tcPr>
            <w:tcW w:w="15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3,593</w:t>
            </w: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NM</w:t>
            </w: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1,027</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3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non-operating expense, net</w:t>
            </w:r>
          </w:p>
        </w:tc>
        <w:tc>
          <w:tcPr>
            <w:tcW w:w="15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(35,729)</w:t>
            </w: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(40,251)</w:t>
            </w:r>
          </w:p>
        </w:tc>
        <w:tc>
          <w:tcPr>
            <w:tcW w:w="18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(11.2)%</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(24,056)</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67.3 %</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Arial" w:cs="Arial" w:eastAsia="Arial" w:hAnsi="Arial"/>
                <w:sz w:val="18"/>
                <w:szCs w:val="18"/>
                <w:color w:val="auto"/>
              </w:rPr>
              <w:t>(Loss) income before income taxes</w:t>
            </w:r>
          </w:p>
        </w:tc>
        <w:tc>
          <w:tcPr>
            <w:tcW w:w="1540" w:type="dxa"/>
            <w:vAlign w:val="bottom"/>
          </w:tcPr>
          <w:p>
            <w:pPr>
              <w:jc w:val="right"/>
              <w:ind w:right="310"/>
              <w:spacing w:after="0"/>
              <w:rPr>
                <w:sz w:val="20"/>
                <w:szCs w:val="20"/>
                <w:color w:val="auto"/>
              </w:rPr>
            </w:pPr>
            <w:r>
              <w:rPr>
                <w:rFonts w:ascii="Arial" w:cs="Arial" w:eastAsia="Arial" w:hAnsi="Arial"/>
                <w:sz w:val="18"/>
                <w:szCs w:val="18"/>
                <w:color w:val="auto"/>
              </w:rPr>
              <w:t>(31,183)</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(3,082)</w:t>
            </w:r>
          </w:p>
        </w:tc>
        <w:tc>
          <w:tcPr>
            <w:tcW w:w="1860" w:type="dxa"/>
            <w:vAlign w:val="bottom"/>
          </w:tcPr>
          <w:p>
            <w:pPr>
              <w:jc w:val="right"/>
              <w:ind w:right="330"/>
              <w:spacing w:after="0"/>
              <w:rPr>
                <w:sz w:val="20"/>
                <w:szCs w:val="20"/>
                <w:color w:val="auto"/>
              </w:rPr>
            </w:pPr>
            <w:r>
              <w:rPr>
                <w:rFonts w:ascii="Arial" w:cs="Arial" w:eastAsia="Arial" w:hAnsi="Arial"/>
                <w:sz w:val="18"/>
                <w:szCs w:val="18"/>
                <w:color w:val="auto"/>
              </w:rPr>
              <w:t>NM</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795</w:t>
            </w:r>
          </w:p>
        </w:tc>
        <w:tc>
          <w:tcPr>
            <w:tcW w:w="142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15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(7,610)</w:t>
            </w: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(349)</w:t>
            </w:r>
          </w:p>
        </w:tc>
        <w:tc>
          <w:tcPr>
            <w:tcW w:w="18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NM</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698</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(loss) income</w:t>
            </w:r>
          </w:p>
        </w:tc>
        <w:tc>
          <w:tcPr>
            <w:tcW w:w="15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(23,573)</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(2,733)</w:t>
            </w:r>
          </w:p>
        </w:tc>
        <w:tc>
          <w:tcPr>
            <w:tcW w:w="1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NM</w:t>
            </w: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97</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0"/>
        </w:trPr>
        <w:tc>
          <w:tcPr>
            <w:tcW w:w="39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Loss per common share:</w:t>
            </w:r>
          </w:p>
        </w:tc>
        <w:tc>
          <w:tcPr>
            <w:tcW w:w="15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15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(4.35)</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(0.90)</w:t>
            </w:r>
          </w:p>
        </w:tc>
        <w:tc>
          <w:tcPr>
            <w:tcW w:w="1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NM</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(0.35)</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Diluted</w:t>
            </w:r>
          </w:p>
        </w:tc>
        <w:tc>
          <w:tcPr>
            <w:tcW w:w="15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(4.35)</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(0.90)</w:t>
            </w:r>
          </w:p>
        </w:tc>
        <w:tc>
          <w:tcPr>
            <w:tcW w:w="1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NM</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(0.35)</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We disposed of certain properties in each of 2024, 2023 and 2022.</w:t>
      </w:r>
    </w:p>
    <w:p>
      <w:pPr>
        <w:spacing w:after="0" w:line="185" w:lineRule="exact"/>
        <w:rPr>
          <w:sz w:val="20"/>
          <w:szCs w:val="20"/>
          <w:color w:val="auto"/>
        </w:rPr>
      </w:pPr>
    </w:p>
    <w:p>
      <w:pPr>
        <w:jc w:val="both"/>
        <w:spacing w:after="0" w:line="287" w:lineRule="auto"/>
        <w:rPr>
          <w:rFonts w:ascii="Arial" w:cs="Arial" w:eastAsia="Arial" w:hAnsi="Arial"/>
          <w:sz w:val="18"/>
          <w:szCs w:val="18"/>
          <w:color w:val="auto"/>
        </w:rPr>
      </w:pPr>
      <w:r>
        <w:rPr>
          <w:rFonts w:ascii="Arial" w:cs="Arial" w:eastAsia="Arial" w:hAnsi="Arial"/>
          <w:sz w:val="18"/>
          <w:szCs w:val="18"/>
          <w:color w:val="auto"/>
        </w:rPr>
        <w:t xml:space="preserve">Discussions of the year ended September 25, 2022 and comparison of the years ended September 24, 2023 and September 25, 2022 can be found in the </w:t>
      </w:r>
      <w:hyperlink r:id="rId36">
        <w:r>
          <w:rPr>
            <w:rFonts w:ascii="Arial" w:cs="Arial" w:eastAsia="Arial" w:hAnsi="Arial"/>
            <w:sz w:val="18"/>
            <w:szCs w:val="18"/>
            <w:u w:val="single" w:color="auto"/>
            <w:color w:val="0000FF"/>
          </w:rPr>
          <w:t>"Management's Discussion and Analysis of Financial Condition</w:t>
        </w:r>
      </w:hyperlink>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rFonts w:ascii="Arial" w:cs="Arial" w:eastAsia="Arial" w:hAnsi="Arial"/>
          <w:sz w:val="18"/>
          <w:szCs w:val="18"/>
          <w:color w:val="0000FF"/>
        </w:rPr>
      </w:pPr>
      <w:hyperlink r:id="rId36">
        <w:r>
          <w:rPr>
            <w:rFonts w:ascii="Arial" w:cs="Arial" w:eastAsia="Arial" w:hAnsi="Arial"/>
            <w:sz w:val="18"/>
            <w:szCs w:val="18"/>
            <w:u w:val="single" w:color="auto"/>
            <w:color w:val="0000FF"/>
          </w:rPr>
          <w:t xml:space="preserve">and </w:t>
        </w:r>
      </w:hyperlink>
      <w:r>
        <w:rPr>
          <w:rFonts w:ascii="Arial" w:cs="Arial" w:eastAsia="Arial" w:hAnsi="Arial"/>
          <w:sz w:val="18"/>
          <w:szCs w:val="18"/>
          <w:color w:val="0000FF"/>
        </w:rPr>
        <w:t xml:space="preserve">Results </w:t>
      </w:r>
      <w:hyperlink r:id="rId36">
        <w:r>
          <w:rPr>
            <w:rFonts w:ascii="Arial" w:cs="Arial" w:eastAsia="Arial" w:hAnsi="Arial"/>
            <w:sz w:val="18"/>
            <w:szCs w:val="18"/>
            <w:u w:val="single" w:color="auto"/>
            <w:color w:val="0000FF"/>
          </w:rPr>
          <w:t xml:space="preserve">of Operations" </w:t>
        </w:r>
      </w:hyperlink>
      <w:r>
        <w:rPr>
          <w:rFonts w:ascii="Arial" w:cs="Arial" w:eastAsia="Arial" w:hAnsi="Arial"/>
          <w:sz w:val="18"/>
          <w:szCs w:val="18"/>
          <w:color w:val="000000"/>
        </w:rPr>
        <w:t>section</w:t>
      </w:r>
      <w:r>
        <w:rPr>
          <w:rFonts w:ascii="Arial" w:cs="Arial" w:eastAsia="Arial" w:hAnsi="Arial"/>
          <w:sz w:val="18"/>
          <w:szCs w:val="18"/>
          <w:color w:val="0000FF"/>
        </w:rPr>
        <w:t xml:space="preserve"> </w:t>
      </w:r>
      <w:r>
        <w:rPr>
          <w:rFonts w:ascii="Arial" w:cs="Arial" w:eastAsia="Arial" w:hAnsi="Arial"/>
          <w:sz w:val="18"/>
          <w:szCs w:val="18"/>
          <w:color w:val="000000"/>
        </w:rPr>
        <w:t>of our Annual Report on Form 10-K for the year ended September 24, 2023, filed on December 8, 2023,</w:t>
      </w:r>
      <w:r>
        <w:rPr>
          <w:rFonts w:ascii="Arial" w:cs="Arial" w:eastAsia="Arial" w:hAnsi="Arial"/>
          <w:sz w:val="18"/>
          <w:szCs w:val="18"/>
          <w:color w:val="0000FF"/>
        </w:rPr>
        <w:t xml:space="preserve"> </w:t>
      </w:r>
      <w:r>
        <w:rPr>
          <w:rFonts w:ascii="Arial" w:cs="Arial" w:eastAsia="Arial" w:hAnsi="Arial"/>
          <w:sz w:val="18"/>
          <w:szCs w:val="18"/>
          <w:color w:val="000000"/>
        </w:rPr>
        <w:t>which section is incorporated by reference herein.</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To facilitate a comparison of our results without the impact of the 53rd week of revenues and expenses, certain revenue and expense trends, as described below, are presented on a comparative basis which is calculated by removing the 53rd week of revenue or expense in 2024.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Revenue Comparison 2024-2023</w:t>
      </w:r>
    </w:p>
    <w:p>
      <w:pPr>
        <w:spacing w:after="0" w:line="19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Total operating revenue totaled $611.4 million in 2024, down $79.8 million, or 11.5%, compared to 2023. On a comparative basis total operating revenue declined 13.0%.</w:t>
      </w:r>
    </w:p>
    <w:p>
      <w:pPr>
        <w:spacing w:after="0" w:line="1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Advertising and marketing services revenue totaled $275.7 million in 2024, down $43.3 million, or 13.6% compared to 2023. On a comparative basis, Advertising and marketing services revenue declines 14.9%.</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Digital advertising and marketing services revenue totaled $194.2 million in 2024, up 0.5% compared to 2023. On a comparative basis, revenue declined 0.9%. Digital advertising and marketing services revenue represented 70.4% of 2024 total advertising and marketing services revenue compared to 60.6% in 2023.</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Print advertising revenues were $81.5 million in 2024, down $44.3 million, or 35.2% compared to 2023. On a comparative basis, print advertising revenue was down 36.5%. The decline is due to continued secular declines in demand for print advertising and a reduced product portfolio through sales and elimination of products that do not meet profitability standards.</w:t>
      </w:r>
    </w:p>
    <w:p>
      <w:pPr>
        <w:spacing w:after="0" w:line="13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Subscription revenue totaled $281.9 million in 2024, or down 10.0%, compared to 2023. Decline in full access volume, consistent with historical and industry trends were partially offset by selective increases on our full access subscriptions, growth in digital-only subscribers and price increases on digital subscriptions. Digital-only subscribers grew 7.1% since 2023 and now total more than 771,000. Digital-only subscription revenue grew 38.9% compared to 2023. On a comparative basis, digital-only revenue grew 36.2%.</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revenue, which primarily consists of commercial printing revenue and digital services from BLOX Digital, totaled $53.8 million, a 8.7% decrease compared to 2023. On a comparative basis other revenue decreased 9.7%. Digital services revenue totaled $20.5 million in 2024, a 5.9% increase compared to 2023. On a comparative basis digital services revenue increased 5.3%. Commercial printing revenue totaled $17.5 million in 2024, a 13.0% decline compared to 2023, primarily driven by reduction in print volumes from our partners. On a comparative basis, commercial printing revenue was down 14.6%.</w:t>
      </w:r>
    </w:p>
    <w:p>
      <w:pPr>
        <w:spacing w:after="0" w:line="1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Total digital revenue including digital advertising revenue, digital-only subscription revenue and digital services revenue totaled $299.1 million in 2024, a 9.4% increase over 2023, and represented 48.9% of our total operating revenue in 2024, compared to 39.5% in 2023.</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Expense Comparison 2024-2023</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Total operating expenses were $611.4 million, a 7.4% decrease compared to 2023. Cash Costs (a non-GAAP financial measure discussed below) were $553.3 million, a 10.1% decrease compared to 2023.</w:t>
      </w:r>
    </w:p>
    <w:p>
      <w:pPr>
        <w:spacing w:after="0" w:line="1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Compensation expense decreased $32.3 million in 2024, or a 12.1% decrease compared to 2023. The decrease is attributable to reductions in full time employees ("FTEs") due to continued business transformation efforts, partially offset by investments in digital talent.</w:t>
      </w:r>
    </w:p>
    <w:p>
      <w:pPr>
        <w:spacing w:after="0" w:line="1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Newsprint and ink costs decreased $8.5 million in 2024, or a 33.7% decrease compared to 2023. This decrease was attributable to declines in newsprint volumes.</w:t>
      </w:r>
    </w:p>
    <w:p>
      <w:pPr>
        <w:spacing w:after="0" w:line="12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Other operating expenses decreased $21.1 million in 2024, or a 6.5% decrease compared to 2023. Other operating expenses include all operating costs not considered to be compensation, newsprint, depreciation and amortization, or restructuring costs and assets loss on sales, impairments, and other, net. The largest components are costs associated with printing and distribution of our printed products, digital cost of goods sold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and facility expenses. The decrease is primarily attributable to lower delivery and other print-related costs due to lower volumes of our print edition.</w:t>
      </w:r>
    </w:p>
    <w:p>
      <w:pPr>
        <w:spacing w:after="0" w:line="12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Restructuring costs and other totaled $19.3 million and $ 12.7 million in 2024 and 2023, respectively. Restructuring costs and other include severance costs, litigation expenses, and restructuring expenses. The increase is attributable to one-time costs to outsource certain operations.</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Depreciation expense decreased $1.2 million, or 10.1%, in 2024. Amortization expense decreased $1.8 million, or 9.6%, in 2024. The decrease in both is attributable to assets becoming fully depreciated or amortized.</w:t>
      </w:r>
    </w:p>
    <w:p>
      <w:pPr>
        <w:spacing w:after="0" w:line="1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Assets loss (gain) on sales, impairments and other was a net loss of $11.2 million in 2024 compared to a net loss of $1.9 million in 2023. Impairment losses in 2024 and 2023 totaled $7.8 million and $7.7 million for mastheads. Additionally, $1.3 million and $1.3 million of goodwill was allocated to the sale of certain non-core operations in 2024 and 2023, respectively. Assets loss (gain) on sales are part the Company's ongoing real estate and non-core asset monetization. They totaled a net loss of $2.2 million in 2024 and a net gain of $6.0 million in 2023.</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Equity Investments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Equity in earnings of TNI and MNI decreased $2.0 million in 2024, or 30.0%, compared to 2023.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198"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Non-operating Income and Expense Comparison 2024-2023</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Interest expense decreased $0.2 million, or 0.6%, to $41.2 million in 2024 due to lower debt balances. Our weighted average cost of debt was 9.0% in 2024 and 2023.</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Other non-operating income and expense consists of benefits associated with our pension and other postretirement plans. We recorded $5.1 million of periodic pension and other postretirement benefits in 2024 compared to $1.2 million in 2023. The increase was attributable due to the Company recognizing a non-cash curtailment gain of $1.2 million in 2024 as a result of outsourcing certain postemployment defined benefit plan functions. Additionally, in 2024, the Company completed a voluntary lump sum payment of future benefits to terminated vested participants. The offer was accepted by 522 participants, representing a $22.6 million pension plan liability. As a result of the offer, a non-cash settlement gain of $2.4 million was recorded in Curtailment/Settlement gain on the Consolidated Statements of (Loss) Income and Comprehensive (Loss) Income. Both assets and liabilities of the plan were reduced by $22.6 million.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BENEFIT</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2024, we recorded income tax benefit of $7.6 million, or 24.4% of pretax loss and in 2023, we recorded an income tax benefit of $0.3 million, or 11.3% of pretax loss. See Note 12 of the Notes to the Consolidated Financial Statements, included herein, for a discussion of the difference between the expected federal income tax rate and the actual tax rates.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AND EARNINGS PER SHARE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Net loss was $23.6 million in 2024 compared to net loss of $2.7 million in 2023.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Losses per share was $4.35 in 2024 compared to losses per share of $0.90 in 2023.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use non-GAAP financial performance measures to supplement the financial information presented on a GAAP basis. These non-GAAP financial measures should not be considered in isolation or as a substitute for the relevant GAAP measures and should be read in conjunction with information presented on a GAAP basis.</w:t>
      </w:r>
    </w:p>
    <w:p>
      <w:pPr>
        <w:spacing w:after="0" w:line="13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this report, we present Adjusted EBITDA and cash costs, which are non-GAAP financial performance measures that exclude from our reported GAAP results the impact of certain items consisting primarily of restructuring charges and non-cash charges. We believe such expenses, charges, and gains are not indicative of normal, ongoing operations, and their inclusion in results makes for more difficult comparisons between years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and with peer group companies. In the future, however, we are likely to incur expenses, charges, and gains similar to the items for which the applicable GAAP financial measures have been adjusted and to report non-GAAP financial measures excluding such items. Accordingly, exclusion of those or similar items in our non-GAAP presentations should not be interpreted as implying the items are non-recurring, infrequent, or unusual.</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We define our non-GAAP measures, which may not be comparable to similarly titled measures reported by other companies, as follows:</w:t>
      </w:r>
    </w:p>
    <w:p>
      <w:pPr>
        <w:spacing w:after="0" w:line="185"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is a non-GAAP financial performance measure that enhances financial statement users' overall understanding of</w:t>
      </w:r>
      <w:r>
        <w:rPr>
          <w:rFonts w:ascii="Arial" w:cs="Arial" w:eastAsia="Arial" w:hAnsi="Arial"/>
          <w:sz w:val="18"/>
          <w:szCs w:val="18"/>
          <w:i w:val="1"/>
          <w:iCs w:val="1"/>
          <w:color w:val="auto"/>
        </w:rPr>
        <w:t xml:space="preserve"> </w:t>
      </w:r>
      <w:r>
        <w:rPr>
          <w:rFonts w:ascii="Arial" w:cs="Arial" w:eastAsia="Arial" w:hAnsi="Arial"/>
          <w:sz w:val="18"/>
          <w:szCs w:val="18"/>
          <w:color w:val="auto"/>
        </w:rPr>
        <w:t>the operating performance of the Company. The measure isolates unusual, infrequent, or non-cash transactions from the operating performance of the business. This allows users to easily compare operating performance among various fiscal periods and how management measures the performance of the business. This measure also provides users with a benchmark that can be used when forecasting future operating performance of the Company that excludes unusual, nonrecurring or one-time transactions. Adjusted EBITDA is also a component of the calculation used by stockholders and analysts to determine the value of our business when using the market approach, which applies a market multiple to financial metrics. It is also a measure used to calculate the leverage ratio of the Company, which is a key financial ratio monitored and used by the Company and its investors. Adjusted EBITDA is defined as net income (loss), plus non-operating expenses, income tax expense, depreciation and amortization, assets loss (gain) on sales, impairments and other, restructuring costs and other, stock compensation and our 50% share of EBITDA from TNI and MNI, minus equity in earnings of TNI and MNI.</w:t>
      </w:r>
    </w:p>
    <w:p>
      <w:pPr>
        <w:spacing w:after="0" w:line="142"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i w:val="1"/>
          <w:iCs w:val="1"/>
          <w:color w:val="auto"/>
        </w:rPr>
        <w:t xml:space="preserve">Cash Costs </w:t>
      </w:r>
      <w:r>
        <w:rPr>
          <w:rFonts w:ascii="Arial" w:cs="Arial" w:eastAsia="Arial" w:hAnsi="Arial"/>
          <w:sz w:val="18"/>
          <w:szCs w:val="18"/>
          <w:color w:val="auto"/>
        </w:rPr>
        <w:t>represent a non-GAAP financial performance measure of operating expenses which are measured on an accrual basis</w:t>
      </w:r>
      <w:r>
        <w:rPr>
          <w:rFonts w:ascii="Arial" w:cs="Arial" w:eastAsia="Arial" w:hAnsi="Arial"/>
          <w:sz w:val="18"/>
          <w:szCs w:val="18"/>
          <w:i w:val="1"/>
          <w:iCs w:val="1"/>
          <w:color w:val="auto"/>
        </w:rPr>
        <w:t xml:space="preserve"> </w:t>
      </w:r>
      <w:r>
        <w:rPr>
          <w:rFonts w:ascii="Arial" w:cs="Arial" w:eastAsia="Arial" w:hAnsi="Arial"/>
          <w:sz w:val="18"/>
          <w:szCs w:val="18"/>
          <w:color w:val="auto"/>
        </w:rPr>
        <w:t>and settled in cash. This measure is useful to investors in understanding the components of the Company’s cash-settled operating costs. Cash Costs can be used by financial statement users to assess the Company's ability to manage and control its operating structure. Cash Costs are defined as compensation, newsprint and ink and other operating expenses. Depreciation and amortization, assets loss (gain) on sales, impairments and other, restructuring costs and other non-cash operating expenses and other non-operating expenses are excluded.</w:t>
      </w:r>
    </w:p>
    <w:p>
      <w:pPr>
        <w:spacing w:after="0" w:line="15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Tables reconciling Adjusted EBITDA to net income and Cash Costs to operating expenses, the most directly comparable measure under GAAP, are set forth below under the caption "Reconciliation of Non-GAAP Financial Measures".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reconciles the non-GAAP financial performance measure of Adjusted EBITDA to net income, the most directly comparable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GAAP measure: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7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34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2024</w:t>
            </w:r>
          </w:p>
        </w:tc>
        <w:tc>
          <w:tcPr>
            <w:tcW w:w="18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2023</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2022</w:t>
            </w:r>
          </w:p>
        </w:tc>
      </w:tr>
      <w:tr>
        <w:trPr>
          <w:trHeight w:val="250"/>
        </w:trPr>
        <w:tc>
          <w:tcPr>
            <w:tcW w:w="476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34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(23,573)</w:t>
            </w:r>
          </w:p>
        </w:tc>
        <w:tc>
          <w:tcPr>
            <w:tcW w:w="18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(2,733)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Adjusted to exclude</w:t>
            </w:r>
          </w:p>
        </w:tc>
        <w:tc>
          <w:tcPr>
            <w:tcW w:w="34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(benefit) expense</w:t>
            </w:r>
          </w:p>
        </w:tc>
        <w:tc>
          <w:tcPr>
            <w:tcW w:w="34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(7,610)</w:t>
            </w:r>
          </w:p>
        </w:tc>
        <w:tc>
          <w:tcPr>
            <w:tcW w:w="18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(349)</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r>
      <w:tr>
        <w:trPr>
          <w:trHeight w:val="230"/>
        </w:trPr>
        <w:tc>
          <w:tcPr>
            <w:tcW w:w="4760" w:type="dxa"/>
            <w:vAlign w:val="bottom"/>
          </w:tcPr>
          <w:p>
            <w:pPr>
              <w:ind w:left="140"/>
              <w:spacing w:after="0"/>
              <w:rPr>
                <w:sz w:val="20"/>
                <w:szCs w:val="20"/>
                <w:color w:val="auto"/>
              </w:rPr>
            </w:pPr>
            <w:r>
              <w:rPr>
                <w:rFonts w:ascii="Arial" w:cs="Arial" w:eastAsia="Arial" w:hAnsi="Arial"/>
                <w:sz w:val="18"/>
                <w:szCs w:val="18"/>
                <w:color w:val="auto"/>
              </w:rPr>
              <w:t>Non-operating expenses, net</w:t>
            </w:r>
          </w:p>
        </w:tc>
        <w:tc>
          <w:tcPr>
            <w:tcW w:w="3460" w:type="dxa"/>
            <w:vAlign w:val="bottom"/>
          </w:tcPr>
          <w:p>
            <w:pPr>
              <w:jc w:val="right"/>
              <w:ind w:right="550"/>
              <w:spacing w:after="0"/>
              <w:rPr>
                <w:sz w:val="20"/>
                <w:szCs w:val="20"/>
                <w:color w:val="auto"/>
              </w:rPr>
            </w:pPr>
            <w:r>
              <w:rPr>
                <w:rFonts w:ascii="Arial" w:cs="Arial" w:eastAsia="Arial" w:hAnsi="Arial"/>
                <w:sz w:val="18"/>
                <w:szCs w:val="18"/>
                <w:color w:val="auto"/>
              </w:rPr>
              <w:t>35,729</w:t>
            </w:r>
          </w:p>
        </w:tc>
        <w:tc>
          <w:tcPr>
            <w:tcW w:w="1800" w:type="dxa"/>
            <w:vAlign w:val="bottom"/>
          </w:tcPr>
          <w:p>
            <w:pPr>
              <w:jc w:val="right"/>
              <w:ind w:right="570"/>
              <w:spacing w:after="0"/>
              <w:rPr>
                <w:sz w:val="20"/>
                <w:szCs w:val="20"/>
                <w:color w:val="auto"/>
              </w:rPr>
            </w:pPr>
            <w:r>
              <w:rPr>
                <w:rFonts w:ascii="Arial" w:cs="Arial" w:eastAsia="Arial" w:hAnsi="Arial"/>
                <w:sz w:val="18"/>
                <w:szCs w:val="18"/>
                <w:color w:val="auto"/>
              </w:rPr>
              <w:t>40,251</w:t>
            </w:r>
          </w:p>
        </w:tc>
        <w:tc>
          <w:tcPr>
            <w:tcW w:w="1220" w:type="dxa"/>
            <w:vAlign w:val="bottom"/>
          </w:tcPr>
          <w:p>
            <w:pPr>
              <w:jc w:val="right"/>
              <w:spacing w:after="0"/>
              <w:rPr>
                <w:sz w:val="20"/>
                <w:szCs w:val="20"/>
                <w:color w:val="auto"/>
              </w:rPr>
            </w:pPr>
            <w:r>
              <w:rPr>
                <w:rFonts w:ascii="Arial" w:cs="Arial" w:eastAsia="Arial" w:hAnsi="Arial"/>
                <w:sz w:val="18"/>
                <w:szCs w:val="18"/>
                <w:color w:val="auto"/>
              </w:rPr>
              <w:t>24,056</w:t>
            </w:r>
          </w:p>
        </w:tc>
      </w:tr>
      <w:tr>
        <w:trPr>
          <w:trHeight w:val="230"/>
        </w:trPr>
        <w:tc>
          <w:tcPr>
            <w:tcW w:w="4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in earnings of TNI and MNI</w:t>
            </w:r>
          </w:p>
        </w:tc>
        <w:tc>
          <w:tcPr>
            <w:tcW w:w="34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(4,572)</w:t>
            </w:r>
          </w:p>
        </w:tc>
        <w:tc>
          <w:tcPr>
            <w:tcW w:w="18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(6,527)</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(5,657)</w:t>
            </w:r>
          </w:p>
        </w:tc>
      </w:tr>
      <w:tr>
        <w:trPr>
          <w:trHeight w:val="230"/>
        </w:trPr>
        <w:tc>
          <w:tcPr>
            <w:tcW w:w="4760" w:type="dxa"/>
            <w:vAlign w:val="bottom"/>
          </w:tcPr>
          <w:p>
            <w:pPr>
              <w:ind w:left="140"/>
              <w:spacing w:after="0"/>
              <w:rPr>
                <w:sz w:val="20"/>
                <w:szCs w:val="20"/>
                <w:color w:val="auto"/>
              </w:rPr>
            </w:pPr>
            <w:r>
              <w:rPr>
                <w:rFonts w:ascii="Arial" w:cs="Arial" w:eastAsia="Arial" w:hAnsi="Arial"/>
                <w:sz w:val="18"/>
                <w:szCs w:val="18"/>
                <w:color w:val="auto"/>
              </w:rPr>
              <w:t>Assets loss on sales, impairments and other, net</w:t>
            </w:r>
          </w:p>
        </w:tc>
        <w:tc>
          <w:tcPr>
            <w:tcW w:w="3460" w:type="dxa"/>
            <w:vAlign w:val="bottom"/>
          </w:tcPr>
          <w:p>
            <w:pPr>
              <w:jc w:val="right"/>
              <w:ind w:right="550"/>
              <w:spacing w:after="0"/>
              <w:rPr>
                <w:sz w:val="20"/>
                <w:szCs w:val="20"/>
                <w:color w:val="auto"/>
              </w:rPr>
            </w:pPr>
            <w:r>
              <w:rPr>
                <w:rFonts w:ascii="Arial" w:cs="Arial" w:eastAsia="Arial" w:hAnsi="Arial"/>
                <w:sz w:val="18"/>
                <w:szCs w:val="18"/>
                <w:color w:val="auto"/>
              </w:rPr>
              <w:t>11,193</w:t>
            </w:r>
          </w:p>
        </w:tc>
        <w:tc>
          <w:tcPr>
            <w:tcW w:w="1800" w:type="dxa"/>
            <w:vAlign w:val="bottom"/>
          </w:tcPr>
          <w:p>
            <w:pPr>
              <w:jc w:val="right"/>
              <w:ind w:right="570"/>
              <w:spacing w:after="0"/>
              <w:rPr>
                <w:sz w:val="20"/>
                <w:szCs w:val="20"/>
                <w:color w:val="auto"/>
              </w:rPr>
            </w:pPr>
            <w:r>
              <w:rPr>
                <w:rFonts w:ascii="Arial" w:cs="Arial" w:eastAsia="Arial" w:hAnsi="Arial"/>
                <w:sz w:val="18"/>
                <w:szCs w:val="18"/>
                <w:color w:val="auto"/>
              </w:rPr>
              <w:t>1,882</w:t>
            </w:r>
          </w:p>
        </w:tc>
        <w:tc>
          <w:tcPr>
            <w:tcW w:w="1220" w:type="dxa"/>
            <w:vAlign w:val="bottom"/>
          </w:tcPr>
          <w:p>
            <w:pPr>
              <w:jc w:val="right"/>
              <w:spacing w:after="0"/>
              <w:rPr>
                <w:sz w:val="20"/>
                <w:szCs w:val="20"/>
                <w:color w:val="auto"/>
              </w:rPr>
            </w:pPr>
            <w:r>
              <w:rPr>
                <w:rFonts w:ascii="Arial" w:cs="Arial" w:eastAsia="Arial" w:hAnsi="Arial"/>
                <w:sz w:val="18"/>
                <w:szCs w:val="18"/>
                <w:color w:val="auto"/>
              </w:rPr>
              <w:t>9,716</w:t>
            </w:r>
          </w:p>
        </w:tc>
      </w:tr>
      <w:tr>
        <w:trPr>
          <w:trHeight w:val="229"/>
        </w:trPr>
        <w:tc>
          <w:tcPr>
            <w:tcW w:w="4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34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27,616</w:t>
            </w:r>
          </w:p>
        </w:tc>
        <w:tc>
          <w:tcPr>
            <w:tcW w:w="180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30,621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36,544</w:t>
            </w:r>
          </w:p>
        </w:tc>
      </w:tr>
      <w:tr>
        <w:trPr>
          <w:trHeight w:val="230"/>
        </w:trPr>
        <w:tc>
          <w:tcPr>
            <w:tcW w:w="4760" w:type="dxa"/>
            <w:vAlign w:val="bottom"/>
          </w:tcPr>
          <w:p>
            <w:pPr>
              <w:ind w:left="140"/>
              <w:spacing w:after="0"/>
              <w:rPr>
                <w:sz w:val="20"/>
                <w:szCs w:val="20"/>
                <w:color w:val="auto"/>
              </w:rPr>
            </w:pPr>
            <w:r>
              <w:rPr>
                <w:rFonts w:ascii="Arial" w:cs="Arial" w:eastAsia="Arial" w:hAnsi="Arial"/>
                <w:sz w:val="18"/>
                <w:szCs w:val="18"/>
                <w:color w:val="auto"/>
              </w:rPr>
              <w:t>Restructuring costs and other</w:t>
            </w:r>
          </w:p>
        </w:tc>
        <w:tc>
          <w:tcPr>
            <w:tcW w:w="3460" w:type="dxa"/>
            <w:vAlign w:val="bottom"/>
          </w:tcPr>
          <w:p>
            <w:pPr>
              <w:jc w:val="right"/>
              <w:ind w:right="550"/>
              <w:spacing w:after="0"/>
              <w:rPr>
                <w:sz w:val="20"/>
                <w:szCs w:val="20"/>
                <w:color w:val="auto"/>
              </w:rPr>
            </w:pPr>
            <w:r>
              <w:rPr>
                <w:rFonts w:ascii="Arial" w:cs="Arial" w:eastAsia="Arial" w:hAnsi="Arial"/>
                <w:sz w:val="18"/>
                <w:szCs w:val="18"/>
                <w:color w:val="auto"/>
              </w:rPr>
              <w:t>19,253</w:t>
            </w:r>
          </w:p>
        </w:tc>
        <w:tc>
          <w:tcPr>
            <w:tcW w:w="1800" w:type="dxa"/>
            <w:vAlign w:val="bottom"/>
          </w:tcPr>
          <w:p>
            <w:pPr>
              <w:jc w:val="right"/>
              <w:ind w:right="570"/>
              <w:spacing w:after="0"/>
              <w:rPr>
                <w:sz w:val="20"/>
                <w:szCs w:val="20"/>
                <w:color w:val="auto"/>
              </w:rPr>
            </w:pPr>
            <w:r>
              <w:rPr>
                <w:rFonts w:ascii="Arial" w:cs="Arial" w:eastAsia="Arial" w:hAnsi="Arial"/>
                <w:sz w:val="18"/>
                <w:szCs w:val="18"/>
                <w:color w:val="auto"/>
              </w:rPr>
              <w:t>12,673</w:t>
            </w:r>
          </w:p>
        </w:tc>
        <w:tc>
          <w:tcPr>
            <w:tcW w:w="1220" w:type="dxa"/>
            <w:vAlign w:val="bottom"/>
          </w:tcPr>
          <w:p>
            <w:pPr>
              <w:jc w:val="right"/>
              <w:spacing w:after="0"/>
              <w:rPr>
                <w:sz w:val="20"/>
                <w:szCs w:val="20"/>
                <w:color w:val="auto"/>
              </w:rPr>
            </w:pPr>
            <w:r>
              <w:rPr>
                <w:rFonts w:ascii="Arial" w:cs="Arial" w:eastAsia="Arial" w:hAnsi="Arial"/>
                <w:sz w:val="18"/>
                <w:szCs w:val="18"/>
                <w:color w:val="auto"/>
              </w:rPr>
              <w:t>22,720</w:t>
            </w:r>
          </w:p>
        </w:tc>
      </w:tr>
      <w:tr>
        <w:trPr>
          <w:trHeight w:val="230"/>
        </w:trPr>
        <w:tc>
          <w:tcPr>
            <w:tcW w:w="4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compensation</w:t>
            </w:r>
          </w:p>
        </w:tc>
        <w:tc>
          <w:tcPr>
            <w:tcW w:w="34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1,751</w:t>
            </w:r>
          </w:p>
        </w:tc>
        <w:tc>
          <w:tcPr>
            <w:tcW w:w="180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1,806</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w:t>
            </w: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Add:</w:t>
            </w:r>
          </w:p>
        </w:tc>
        <w:tc>
          <w:tcPr>
            <w:tcW w:w="34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47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Ownership share of TNI and MNI EBITDA (50%)</w:t>
            </w:r>
          </w:p>
        </w:tc>
        <w:tc>
          <w:tcPr>
            <w:tcW w:w="34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5,519</w:t>
            </w:r>
          </w:p>
        </w:tc>
        <w:tc>
          <w:tcPr>
            <w:tcW w:w="180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7,604</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6,541</w:t>
            </w:r>
          </w:p>
        </w:tc>
      </w:tr>
      <w:tr>
        <w:trPr>
          <w:trHeight w:val="223"/>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Adjusted EBITDA</w:t>
            </w:r>
          </w:p>
        </w:tc>
        <w:tc>
          <w:tcPr>
            <w:tcW w:w="34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65,306</w:t>
            </w:r>
          </w:p>
        </w:tc>
        <w:tc>
          <w:tcPr>
            <w:tcW w:w="18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85,228</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96,052</w:t>
            </w:r>
          </w:p>
        </w:tc>
      </w:tr>
      <w:tr>
        <w:trPr>
          <w:trHeight w:val="20"/>
        </w:trPr>
        <w:tc>
          <w:tcPr>
            <w:tcW w:w="476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902"/>
        </w:trPr>
        <w:tc>
          <w:tcPr>
            <w:tcW w:w="4760" w:type="dxa"/>
            <w:vAlign w:val="bottom"/>
          </w:tcPr>
          <w:p>
            <w:pPr>
              <w:spacing w:after="0"/>
              <w:rPr>
                <w:sz w:val="24"/>
                <w:szCs w:val="24"/>
                <w:color w:val="auto"/>
              </w:rPr>
            </w:pPr>
          </w:p>
        </w:tc>
        <w:tc>
          <w:tcPr>
            <w:tcW w:w="3460" w:type="dxa"/>
            <w:vAlign w:val="bottom"/>
          </w:tcPr>
          <w:p>
            <w:pPr>
              <w:jc w:val="right"/>
              <w:ind w:right="2410"/>
              <w:spacing w:after="0"/>
              <w:rPr>
                <w:sz w:val="20"/>
                <w:szCs w:val="20"/>
                <w:color w:val="auto"/>
              </w:rPr>
            </w:pPr>
            <w:r>
              <w:rPr>
                <w:rFonts w:ascii="Arial" w:cs="Arial" w:eastAsia="Arial" w:hAnsi="Arial"/>
                <w:sz w:val="18"/>
                <w:szCs w:val="18"/>
                <w:color w:val="auto"/>
              </w:rPr>
              <w:t>22</w:t>
            </w:r>
          </w:p>
        </w:tc>
        <w:tc>
          <w:tcPr>
            <w:tcW w:w="18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98"/>
        </w:trPr>
        <w:tc>
          <w:tcPr>
            <w:tcW w:w="4760" w:type="dxa"/>
            <w:vAlign w:val="bottom"/>
            <w:tcBorders>
              <w:bottom w:val="single" w:sz="8" w:color="9A9A9A"/>
            </w:tcBorders>
          </w:tcPr>
          <w:p>
            <w:pPr>
              <w:spacing w:after="0"/>
              <w:rPr>
                <w:sz w:val="8"/>
                <w:szCs w:val="8"/>
                <w:color w:val="auto"/>
              </w:rPr>
            </w:pPr>
          </w:p>
        </w:tc>
        <w:tc>
          <w:tcPr>
            <w:tcW w:w="346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table below reconciles the non-GAAP financial performance measure of Cash Costs to Operating expenses, the most directly comparable GAAP measure: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7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34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2024</w:t>
            </w:r>
          </w:p>
        </w:tc>
        <w:tc>
          <w:tcPr>
            <w:tcW w:w="17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2022</w:t>
            </w:r>
          </w:p>
        </w:tc>
      </w:tr>
      <w:tr>
        <w:trPr>
          <w:trHeight w:val="250"/>
        </w:trPr>
        <w:tc>
          <w:tcPr>
            <w:tcW w:w="476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4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611,406</w:t>
            </w:r>
          </w:p>
        </w:tc>
        <w:tc>
          <w:tcPr>
            <w:tcW w:w="17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660,496</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761,775</w:t>
            </w: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34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34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27,616</w:t>
            </w:r>
          </w:p>
        </w:tc>
        <w:tc>
          <w:tcPr>
            <w:tcW w:w="17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30,621</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36,544</w:t>
            </w:r>
          </w:p>
        </w:tc>
      </w:tr>
      <w:tr>
        <w:trPr>
          <w:trHeight w:val="229"/>
        </w:trPr>
        <w:tc>
          <w:tcPr>
            <w:tcW w:w="4760" w:type="dxa"/>
            <w:vAlign w:val="bottom"/>
          </w:tcPr>
          <w:p>
            <w:pPr>
              <w:ind w:left="140"/>
              <w:spacing w:after="0"/>
              <w:rPr>
                <w:sz w:val="20"/>
                <w:szCs w:val="20"/>
                <w:color w:val="auto"/>
              </w:rPr>
            </w:pPr>
            <w:r>
              <w:rPr>
                <w:rFonts w:ascii="Arial" w:cs="Arial" w:eastAsia="Arial" w:hAnsi="Arial"/>
                <w:sz w:val="18"/>
                <w:szCs w:val="18"/>
                <w:color w:val="auto"/>
              </w:rPr>
              <w:t>Assets loss on sales, impairments and other, net</w:t>
            </w:r>
          </w:p>
        </w:tc>
        <w:tc>
          <w:tcPr>
            <w:tcW w:w="3420" w:type="dxa"/>
            <w:vAlign w:val="bottom"/>
          </w:tcPr>
          <w:p>
            <w:pPr>
              <w:jc w:val="right"/>
              <w:ind w:right="510"/>
              <w:spacing w:after="0"/>
              <w:rPr>
                <w:sz w:val="20"/>
                <w:szCs w:val="20"/>
                <w:color w:val="auto"/>
              </w:rPr>
            </w:pPr>
            <w:r>
              <w:rPr>
                <w:rFonts w:ascii="Arial" w:cs="Arial" w:eastAsia="Arial" w:hAnsi="Arial"/>
                <w:sz w:val="18"/>
                <w:szCs w:val="18"/>
                <w:color w:val="auto"/>
              </w:rPr>
              <w:t>11,193</w:t>
            </w:r>
          </w:p>
        </w:tc>
        <w:tc>
          <w:tcPr>
            <w:tcW w:w="1780" w:type="dxa"/>
            <w:vAlign w:val="bottom"/>
          </w:tcPr>
          <w:p>
            <w:pPr>
              <w:jc w:val="right"/>
              <w:ind w:right="510"/>
              <w:spacing w:after="0"/>
              <w:rPr>
                <w:sz w:val="20"/>
                <w:szCs w:val="20"/>
                <w:color w:val="auto"/>
              </w:rPr>
            </w:pPr>
            <w:r>
              <w:rPr>
                <w:rFonts w:ascii="Arial" w:cs="Arial" w:eastAsia="Arial" w:hAnsi="Arial"/>
                <w:sz w:val="18"/>
                <w:szCs w:val="18"/>
                <w:color w:val="auto"/>
              </w:rPr>
              <w:t>1,882</w:t>
            </w:r>
          </w:p>
        </w:tc>
        <w:tc>
          <w:tcPr>
            <w:tcW w:w="1280" w:type="dxa"/>
            <w:vAlign w:val="bottom"/>
          </w:tcPr>
          <w:p>
            <w:pPr>
              <w:jc w:val="right"/>
              <w:spacing w:after="0"/>
              <w:rPr>
                <w:sz w:val="20"/>
                <w:szCs w:val="20"/>
                <w:color w:val="auto"/>
              </w:rPr>
            </w:pPr>
            <w:r>
              <w:rPr>
                <w:rFonts w:ascii="Arial" w:cs="Arial" w:eastAsia="Arial" w:hAnsi="Arial"/>
                <w:sz w:val="18"/>
                <w:szCs w:val="18"/>
                <w:color w:val="auto"/>
              </w:rPr>
              <w:t>9,716</w:t>
            </w:r>
          </w:p>
        </w:tc>
      </w:tr>
      <w:tr>
        <w:trPr>
          <w:trHeight w:val="229"/>
        </w:trPr>
        <w:tc>
          <w:tcPr>
            <w:tcW w:w="47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Restructuring costs and other</w:t>
            </w:r>
          </w:p>
        </w:tc>
        <w:tc>
          <w:tcPr>
            <w:tcW w:w="34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19,253</w:t>
            </w:r>
          </w:p>
        </w:tc>
        <w:tc>
          <w:tcPr>
            <w:tcW w:w="178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12,673</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22,720</w:t>
            </w:r>
          </w:p>
        </w:tc>
      </w:tr>
      <w:tr>
        <w:trPr>
          <w:trHeight w:val="223"/>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Cash Costs</w:t>
            </w:r>
          </w:p>
        </w:tc>
        <w:tc>
          <w:tcPr>
            <w:tcW w:w="3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553,344</w:t>
            </w:r>
          </w:p>
        </w:tc>
        <w:tc>
          <w:tcPr>
            <w:tcW w:w="17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615,320</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692,795</w:t>
            </w:r>
          </w:p>
        </w:tc>
      </w:tr>
      <w:tr>
        <w:trPr>
          <w:trHeight w:val="21"/>
        </w:trPr>
        <w:tc>
          <w:tcPr>
            <w:tcW w:w="476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902"/>
        </w:trPr>
        <w:tc>
          <w:tcPr>
            <w:tcW w:w="4760" w:type="dxa"/>
            <w:vAlign w:val="bottom"/>
          </w:tcPr>
          <w:p>
            <w:pPr>
              <w:spacing w:after="0"/>
              <w:rPr>
                <w:sz w:val="24"/>
                <w:szCs w:val="24"/>
                <w:color w:val="auto"/>
              </w:rPr>
            </w:pPr>
          </w:p>
        </w:tc>
        <w:tc>
          <w:tcPr>
            <w:tcW w:w="3420" w:type="dxa"/>
            <w:vAlign w:val="bottom"/>
          </w:tcPr>
          <w:p>
            <w:pPr>
              <w:jc w:val="right"/>
              <w:ind w:right="2370"/>
              <w:spacing w:after="0"/>
              <w:rPr>
                <w:sz w:val="20"/>
                <w:szCs w:val="20"/>
                <w:color w:val="auto"/>
              </w:rPr>
            </w:pPr>
            <w:r>
              <w:rPr>
                <w:rFonts w:ascii="Arial" w:cs="Arial" w:eastAsia="Arial" w:hAnsi="Arial"/>
                <w:sz w:val="18"/>
                <w:szCs w:val="18"/>
                <w:color w:val="auto"/>
              </w:rPr>
              <w:t>23</w:t>
            </w:r>
          </w:p>
        </w:tc>
        <w:tc>
          <w:tcPr>
            <w:tcW w:w="17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98"/>
        </w:trPr>
        <w:tc>
          <w:tcPr>
            <w:tcW w:w="4760" w:type="dxa"/>
            <w:vAlign w:val="bottom"/>
            <w:tcBorders>
              <w:bottom w:val="single" w:sz="8" w:color="9A9A9A"/>
            </w:tcBorders>
          </w:tcPr>
          <w:p>
            <w:pPr>
              <w:spacing w:after="0"/>
              <w:rPr>
                <w:sz w:val="8"/>
                <w:szCs w:val="8"/>
                <w:color w:val="auto"/>
              </w:rPr>
            </w:pPr>
          </w:p>
        </w:tc>
        <w:tc>
          <w:tcPr>
            <w:tcW w:w="3420" w:type="dxa"/>
            <w:vAlign w:val="bottom"/>
            <w:tcBorders>
              <w:bottom w:val="single" w:sz="8" w:color="9A9A9A"/>
            </w:tcBorders>
          </w:tcPr>
          <w:p>
            <w:pPr>
              <w:spacing w:after="0"/>
              <w:rPr>
                <w:sz w:val="8"/>
                <w:szCs w:val="8"/>
                <w:color w:val="auto"/>
              </w:rPr>
            </w:pPr>
          </w:p>
        </w:tc>
        <w:tc>
          <w:tcPr>
            <w:tcW w:w="178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operations have historically generated positive cash flow and are expected to provide sufficient liquidity, together with cash on hand, to meet our requirements, primarily operating expenses, interest expense and capital expenditures for at least the next twelve months. A summary of our cash flows is included in the narrative below.</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Activities</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Cash provided from operating activities totaled $1.1 million in 2024 compared to cash required by operating activities of $ 3.2 million in 2023, an increase of $4.3 million. The increase was driven by an increase in working capital of $19.7 million, primarily related to favorable changes</w:t>
      </w:r>
    </w:p>
    <w:p>
      <w:pPr>
        <w:spacing w:after="0" w:line="2"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in accounts payable and unearned revenue partially offset by a decrease in operating results of $15.4 million (defined as net loss adjusted for non-working capital items).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Investing Activities</w:t>
      </w:r>
    </w:p>
    <w:p>
      <w:pPr>
        <w:spacing w:after="0" w:line="18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Cash provided by investing activities totaled $3.7 million in 2024 and $8.6 million in 2023. Capital spending totaled $9.2 million and $5.1 million in 2024 and 2023, respectively. Proceeds from sales of assets totaled $13.5 million and $12.0 million in 2024 and 2023, respectively.</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Financing Activities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Cash required for financing activities totaled $9.8 million in 2024 and $7.1 million in 2023. Debt reduction accounted for the majority of the usage of funds in 2024 and 2023, respectively.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liquidity, consisting of cash on the balance sheet, totaled $ 9.6 million at September 29, 2024. This liquidity amount excludes any future cash flows from operations. We expect all interest and principal payments due in the next twelve months will be satisfied by existing cash and our cash flows, which will allow us to maintain an adequate level of liquidity.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largest source of advertising and marketing services revenue, retail advertising, is seasonal and tends to fluctuate with retail sales in markets served. Historically, retail advertising is higher in the December and June quarters. Advertising and marketing services revenue is lowest in the March quarter.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Price increases (or decreases) for our products are implemented when deemed appropriate by us. We continuously evaluate price increases, productivity improvements, sourcing efficiencies and other cost reductions to mitigate the impact of inflation.</w:t>
      </w:r>
    </w:p>
    <w:p>
      <w:pPr>
        <w:spacing w:after="0" w:line="112"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Information with respect to this Item is included herein under the caption “Consolidated Financial Statements”.</w:t>
      </w:r>
    </w:p>
    <w:p>
      <w:pPr>
        <w:spacing w:after="0" w:line="198"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ITEM 9. CHANGES IN AND DISAGREEMENTS WITH ACCOUNTANTS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 ACCOUNTING AND FINANCIAL DISCLOSURE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ITEM 9A.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concluded an evaluation of our disclosure controls and procedures, as such</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term is defined under Rule 13a-15(e) promulgated under the Securities Exchange Act of 1934, as amended (the "Exchange Act").</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Securities and Exchange Commission’s rules and forms. Disclosure controls and procedures include controls and procedures designed to ensure that information required to be disclosed in our Company’s reports filed under the Exchange Act is accumulated and communicated to management, including our Chief Executive Officer and Chief Financial Officer, to allow timely decisions regarding required disclosure. Based on this evaluation, our Chief Executive Officer and Chief Financial Officer concluded as of the Evaluation Date that our disclosure controls and procedures were effective such that the information relating to the Company, including our consolidated subsidiaries, required to be disclosed in our SEC reports (i) is recorded, processed, summarized and reported within the time periods specified in SEC rules and forms, and (ii) is accumulated and communicated to our management, including our chief executive officer and chief financial officer, as appropriate to allow timely decisions regarding required disclosure.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such term is defined in Rule 13a-15(f) of the Exchange Act. Any internal control system, no matter how well designed, has inherent limitations and may not prevent or detect misstatements. Accordingly, even those systems determined to be effective can provide only reasonable assurance with respect to financial statement preparation and presentation.</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supervision and with the participation of our senior management, including our Chief Executive Officer and Chief Financial Officer, we assessed the effectiveness of our internal control over financial reporting as of the September 29, 2024 (the "Evaluation Date"), using the criteria set forth in the Internal Control-Integrated Framework (2013) issued by the Committee of Sponsoring Organizations of the Treadway Commission. Based on this assessment, management has concluded that our internal control over financial reporting was effective as of the Evaluation Date, to provide reasonable assurance regarding the reliability of financial reporting and the preparation of financial statements in accordance with GAAP.</w:t>
      </w:r>
    </w:p>
    <w:p>
      <w:pPr>
        <w:spacing w:after="0" w:line="14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BDO USA, P.C., our independent registered public accounting firm, has issued a report on our internal control over financial reporting as of September 29, 2024, which is included herein.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Remediation of Previously Reported Material Weaknesses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previously reported in Item 9A of our Annual Report on Form 10-K for the fiscal year ended September 24, 2023, management had concluded the Company had a material weakness in internal control over financial reporting, specific to a) the Company's controls to assess the reliability of certain internally generated information, or evaluate information received from certain third-party service providers. To address the material weakness, during the fiscal year ended September 29, 2024 we:</w:t>
      </w:r>
    </w:p>
    <w:p>
      <w:pPr>
        <w:spacing w:after="0" w:line="136"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Established a project team to review, evaluate and remediate the material weakness in internal controls over financial reporting.</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Invested in new technology and human capital in the development of new internal controls.</w:t>
      </w:r>
    </w:p>
    <w:p>
      <w:pPr>
        <w:spacing w:after="0" w:line="1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Expanded Corporate Compliance function to lead management's efforts related to effective control design, documentation and implementation, as well as remediate ineffective controls.</w:t>
      </w:r>
    </w:p>
    <w:p>
      <w:pPr>
        <w:spacing w:after="0" w:line="179" w:lineRule="exact"/>
        <w:rPr>
          <w:rFonts w:ascii="Arial" w:cs="Arial" w:eastAsia="Arial" w:hAnsi="Arial"/>
          <w:sz w:val="18"/>
          <w:szCs w:val="18"/>
          <w:color w:val="auto"/>
        </w:rPr>
      </w:pPr>
    </w:p>
    <w:p>
      <w:pPr>
        <w:ind w:left="660" w:right="60" w:hanging="328"/>
        <w:spacing w:after="0" w:line="27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Implemented a new revenue IT system through collaboration among finance, accounting, sales, and IT with the focus on centralizing our products fulfillment process.</w:t>
      </w:r>
    </w:p>
    <w:p>
      <w:pPr>
        <w:spacing w:after="0" w:line="180" w:lineRule="exact"/>
        <w:rPr>
          <w:rFonts w:ascii="Arial" w:cs="Arial" w:eastAsia="Arial" w:hAnsi="Arial"/>
          <w:sz w:val="18"/>
          <w:szCs w:val="18"/>
          <w:color w:val="auto"/>
        </w:rPr>
      </w:pPr>
    </w:p>
    <w:p>
      <w:pPr>
        <w:ind w:left="660" w:right="8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Coordinated the flow of data with many of our third-party fulfillment vendors to improve processes surrounding customer acceptance and evidence of fulfillment.</w:t>
      </w:r>
    </w:p>
    <w:p>
      <w:pPr>
        <w:spacing w:after="0" w:line="16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Retained Deloitte &amp; Touche LLP to validate the design of these new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Implemented six additional internal controls focused on addressing the material weakness in internal controls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Other than those implemented to address the material weakness as described above, there have been no changes in our internal control over financial reporting that occurred during the 14 weeks ended September 29, 2024 that have materially affected or are reasonably likely to materially affect our internal control over financial reporting.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Stockholders and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Lee Enterprises, Incorporated</w:t>
      </w:r>
    </w:p>
    <w:p>
      <w:pPr>
        <w:spacing w:after="0"/>
        <w:rPr>
          <w:sz w:val="20"/>
          <w:szCs w:val="20"/>
          <w:color w:val="auto"/>
        </w:rPr>
      </w:pPr>
      <w:r>
        <w:rPr>
          <w:rFonts w:ascii="Arial" w:cs="Arial" w:eastAsia="Arial" w:hAnsi="Arial"/>
          <w:sz w:val="18"/>
          <w:szCs w:val="18"/>
          <w:color w:val="auto"/>
        </w:rPr>
        <w:t>Davenport, Iowa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We have audited Lee Enterprises, Incorporated’s (the “Company's”) internal control over financial reporting as of September 29, 2024,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(the “COSO criteria”). In our opinion, the Company maintained, in all material respects, effective internal control over financial reporting as of September 29, 2024, based on the COSO criteria</w:t>
      </w:r>
      <w:r>
        <w:rPr>
          <w:rFonts w:ascii="Arial" w:cs="Arial" w:eastAsia="Arial" w:hAnsi="Arial"/>
          <w:sz w:val="18"/>
          <w:szCs w:val="18"/>
          <w:i w:val="1"/>
          <w:iCs w:val="1"/>
          <w:color w:val="auto"/>
        </w:rPr>
        <w:t>.</w:t>
      </w:r>
    </w:p>
    <w:p>
      <w:pPr>
        <w:spacing w:after="0" w:line="20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September 29, 2024 and September 24, 2023, the related consolidated statements of</w:t>
      </w:r>
    </w:p>
    <w:p>
      <w:pPr>
        <w:jc w:val="both"/>
        <w:spacing w:after="0" w:line="237" w:lineRule="auto"/>
        <w:rPr>
          <w:sz w:val="20"/>
          <w:szCs w:val="20"/>
          <w:color w:val="auto"/>
        </w:rPr>
      </w:pPr>
      <w:r>
        <w:rPr>
          <w:rFonts w:ascii="Arial" w:cs="Arial" w:eastAsia="Arial" w:hAnsi="Arial"/>
          <w:sz w:val="18"/>
          <w:szCs w:val="18"/>
          <w:color w:val="auto"/>
        </w:rPr>
        <w:t>(loss) income and comprehensive (loss) income, (deficit) equity, and cash flows for each of the three fiscal years in the period ended September 29, 2024, and the related notes and our report dated December 13, 2024, expressed an unqualified opinion thereon.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w:t>
      </w:r>
    </w:p>
    <w:p>
      <w:pPr>
        <w:jc w:val="both"/>
        <w:spacing w:after="0" w:line="237" w:lineRule="auto"/>
        <w:rPr>
          <w:sz w:val="20"/>
          <w:szCs w:val="20"/>
          <w:color w:val="auto"/>
        </w:rPr>
      </w:pPr>
      <w:r>
        <w:rPr>
          <w:rFonts w:ascii="Arial" w:cs="Arial" w:eastAsia="Arial" w:hAnsi="Arial"/>
          <w:sz w:val="18"/>
          <w:szCs w:val="18"/>
          <w:color w:val="auto"/>
        </w:rPr>
        <w:t>assessed risk. Our audit also included performing such other procedures as we considered necessary in the circumstances. We believe that our audit provides a reasonable basis for our opinion.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/s/ BDO USA, P.C.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December 13, 2024</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9B.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Information with respect to this Item, except for certain information related to our executive officers included under the caption “Executive Team” in Part I of this Annual Report, is included in our Proxy Statement to be filed in January 2025, which is incorporated herein by reference, under the captions “Proposal 1 - Election of Directors” and “Section 16(a) Beneficial Ownership Reporting Compliance”. Our executive officers are those elected officers whose names and certain information are set forth under the caption “Executive Team” in Part 1 of this Annual Report.</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 Code of Business Conduct and Ethics ("Code") that applies to all of our employees, including our principal executive officer, and principal financial and accounting officer. The Code is monitored by the Audit and Risk Management Committee of our Board of Directors and is annually affirmed by our directors and executive officers. We maintain a corporate governance page on our website which includes the Code. The corporate governance page can be found at www.lee.net by clicking on “Governance” under the "About" tab. A copy of the Code will also be provided without charge to any stockholder who requests it. Any future amendment to, or waiver granted by us from, a provision of the Code will be posted on our website.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11. EXECUTIVE COMPENSATION</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Information with respect to this Item is included in our Proxy Statement to be filed in January 2025, which is incorporated herein by reference, under the captions, “Compensation of Non-Employee Directors”, “Executive Compensation” and “Compensation Discussion and Analysis”; provided, however, that the subsection entitled “Executive Compensation - Executive Compensation Committee Report” shall not be deemed to be incorporated by reference.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12. SECURITY OWNERSHIP OF CERTAIN BENEFICIAL OWNERS AND MANAGEMENT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RELATED STOCKHOLDER MATTERS</w:t>
      </w:r>
    </w:p>
    <w:p>
      <w:pPr>
        <w:spacing w:after="0" w:line="23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Information with respect to this Item is included in our Proxy Statement to be filed in January 2025, which is incorporated herein by reference, under the captions “Voting Securities and Principal Holders Thereof” and “Equity Compensation Plan Information”.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DIRECTOR INDEPENDENCE</w:t>
      </w:r>
    </w:p>
    <w:p>
      <w:pPr>
        <w:spacing w:after="0" w:line="16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Information with respect to this Item is included in our Proxy Statement to be filed in January 2025, which is incorporated herein by reference, under the caption “Directors' Meetings and Committees of the Board of Directors”.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5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Information with respect to this Item is included in our Proxy Statement to be filed in January 2025, which is incorporated herein by reference, under the caption “Relationship with Independent Registered Public Accounting Firm”.</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ind w:right="2940" w:firstLine="2940"/>
        <w:spacing w:after="0" w:line="453" w:lineRule="auto"/>
        <w:rPr>
          <w:sz w:val="20"/>
          <w:szCs w:val="20"/>
          <w:color w:val="auto"/>
        </w:rPr>
      </w:pPr>
      <w:r>
        <w:rPr>
          <w:rFonts w:ascii="Arial" w:cs="Arial" w:eastAsia="Arial" w:hAnsi="Arial"/>
          <w:sz w:val="18"/>
          <w:szCs w:val="18"/>
          <w:b w:val="1"/>
          <w:bCs w:val="1"/>
          <w:color w:val="auto"/>
        </w:rPr>
        <w:t xml:space="preserve">ITEM 15. EXHIBITS AND FINANCIAL STATEMENT SCHEDULES </w:t>
      </w:r>
      <w:r>
        <w:rPr>
          <w:rFonts w:ascii="Arial" w:cs="Arial" w:eastAsia="Arial" w:hAnsi="Arial"/>
          <w:sz w:val="18"/>
          <w:szCs w:val="18"/>
          <w:color w:val="auto"/>
        </w:rPr>
        <w:t>The following documents are filed as part of this Annual Report: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198"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Consolidated Statements of (Loss) Income and Comprehensive (Loss) Income - 53 weeks ended September 29, 2024, 52 weeks ended September 24, 2023 and 52 weeks ended September 25, 2022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 September 29, 2024 and September 24, 2023</w:t>
      </w:r>
    </w:p>
    <w:p>
      <w:pPr>
        <w:spacing w:after="0" w:line="9"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Consolidated Statements of Stockholders' (Deficit) Equity - 53 weeks ended September 29, 2024, 52 weeks ended September 24, 2023 and 52 weeks ended September 25, 2022</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Consolidated Statements of Cash Flows - 53 weeks ended September 29, 2024, 52 weeks ended September 24, 2023 and 52 weeks ended September 25, 2022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Reports of Independent Registered Public Accounting Firm*</w:t>
      </w:r>
    </w:p>
    <w:p>
      <w:pPr>
        <w:spacing w:after="0" w:line="244" w:lineRule="exact"/>
        <w:rPr>
          <w:sz w:val="20"/>
          <w:szCs w:val="20"/>
          <w:color w:val="auto"/>
        </w:rPr>
      </w:pPr>
    </w:p>
    <w:p>
      <w:pPr>
        <w:ind w:left="660"/>
        <w:spacing w:after="0"/>
        <w:rPr>
          <w:sz w:val="20"/>
          <w:szCs w:val="20"/>
          <w:color w:val="auto"/>
        </w:rPr>
      </w:pPr>
      <w:r>
        <w:rPr>
          <w:rFonts w:ascii="Arial" w:cs="Arial" w:eastAsia="Arial" w:hAnsi="Arial"/>
          <w:sz w:val="14"/>
          <w:szCs w:val="14"/>
          <w:color w:val="auto"/>
        </w:rPr>
        <w:t>*BDO USA, P.C. Chicago, IL; PCAOB Firm ID#243</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All schedules have been omitted as they are not required, not applicable, not deemed material or because the information is included in the Notes to Consolidated Financial Statements, included herein.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 included herein.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6280" w:type="dxa"/>
            <w:vAlign w:val="bottom"/>
            <w:gridSpan w:val="8"/>
          </w:tcPr>
          <w:p>
            <w:pPr>
              <w:spacing w:after="0"/>
              <w:rPr>
                <w:sz w:val="20"/>
                <w:szCs w:val="20"/>
                <w:color w:val="auto"/>
              </w:rPr>
            </w:pPr>
            <w:r>
              <w:rPr>
                <w:rFonts w:ascii="Arial" w:cs="Arial" w:eastAsia="Arial" w:hAnsi="Arial"/>
                <w:sz w:val="18"/>
                <w:szCs w:val="18"/>
                <w:color w:val="0000FF"/>
              </w:rPr>
              <w:t>Table of Contents</w:t>
            </w:r>
          </w:p>
        </w:tc>
        <w:tc>
          <w:tcPr>
            <w:tcW w:w="4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58"/>
        </w:trPr>
        <w:tc>
          <w:tcPr>
            <w:tcW w:w="20" w:type="dxa"/>
            <w:vAlign w:val="bottom"/>
          </w:tcPr>
          <w:p>
            <w:pPr>
              <w:spacing w:after="0"/>
              <w:rPr>
                <w:sz w:val="24"/>
                <w:szCs w:val="24"/>
                <w:color w:val="auto"/>
              </w:rPr>
            </w:pPr>
          </w:p>
        </w:tc>
        <w:tc>
          <w:tcPr>
            <w:tcW w:w="6260" w:type="dxa"/>
            <w:vAlign w:val="bottom"/>
            <w:gridSpan w:val="7"/>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49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PAGE</w:t>
            </w:r>
          </w:p>
        </w:tc>
      </w:tr>
      <w:tr>
        <w:trPr>
          <w:trHeight w:val="258"/>
        </w:trPr>
        <w:tc>
          <w:tcPr>
            <w:tcW w:w="20" w:type="dxa"/>
            <w:vAlign w:val="bottom"/>
            <w:tcBorders>
              <w:bottom w:val="single" w:sz="8" w:color="auto"/>
            </w:tcBorders>
          </w:tcPr>
          <w:p>
            <w:pPr>
              <w:spacing w:after="0"/>
              <w:rPr>
                <w:sz w:val="22"/>
                <w:szCs w:val="22"/>
                <w:color w:val="auto"/>
              </w:rPr>
            </w:pPr>
          </w:p>
        </w:tc>
        <w:tc>
          <w:tcPr>
            <w:tcW w:w="2360" w:type="dxa"/>
            <w:vAlign w:val="bottom"/>
            <w:tcBorders>
              <w:bottom w:val="single" w:sz="8" w:color="auto"/>
            </w:tcBorders>
            <w:gridSpan w:val="2"/>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spacing w:after="0"/>
              <w:rPr>
                <w:sz w:val="22"/>
                <w:szCs w:val="22"/>
                <w:color w:val="auto"/>
              </w:rPr>
            </w:pPr>
          </w:p>
        </w:tc>
        <w:tc>
          <w:tcPr>
            <w:tcW w:w="47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439"/>
        </w:trPr>
        <w:tc>
          <w:tcPr>
            <w:tcW w:w="20" w:type="dxa"/>
            <w:vAlign w:val="bottom"/>
          </w:tcPr>
          <w:p>
            <w:pPr>
              <w:spacing w:after="0"/>
              <w:rPr>
                <w:sz w:val="24"/>
                <w:szCs w:val="24"/>
                <w:color w:val="auto"/>
              </w:rPr>
            </w:pPr>
          </w:p>
        </w:tc>
        <w:tc>
          <w:tcPr>
            <w:tcW w:w="6260" w:type="dxa"/>
            <w:vAlign w:val="bottom"/>
            <w:gridSpan w:val="7"/>
          </w:tcPr>
          <w:p>
            <w:pPr>
              <w:spacing w:after="0"/>
              <w:rPr>
                <w:sz w:val="20"/>
                <w:szCs w:val="20"/>
                <w:color w:val="auto"/>
              </w:rPr>
            </w:pPr>
            <w:r>
              <w:rPr>
                <w:rFonts w:ascii="Arial" w:cs="Arial" w:eastAsia="Arial" w:hAnsi="Arial"/>
                <w:sz w:val="18"/>
                <w:szCs w:val="18"/>
                <w:color w:val="0000FF"/>
                <w:w w:val="99"/>
              </w:rPr>
              <w:t>Consolidated Statements of (Loss) Income and Comprehensive (Loss) Income</w:t>
            </w:r>
          </w:p>
        </w:tc>
        <w:tc>
          <w:tcPr>
            <w:tcW w:w="474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31</w:t>
            </w:r>
          </w:p>
        </w:tc>
      </w:tr>
      <w:tr>
        <w:trPr>
          <w:trHeight w:val="20"/>
        </w:trPr>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6260" w:type="dxa"/>
            <w:vAlign w:val="bottom"/>
            <w:gridSpan w:val="7"/>
          </w:tcPr>
          <w:p>
            <w:pPr>
              <w:spacing w:after="0"/>
              <w:rPr>
                <w:sz w:val="20"/>
                <w:szCs w:val="20"/>
                <w:color w:val="auto"/>
              </w:rPr>
            </w:pPr>
            <w:r>
              <w:rPr>
                <w:rFonts w:ascii="Arial" w:cs="Arial" w:eastAsia="Arial" w:hAnsi="Arial"/>
                <w:sz w:val="18"/>
                <w:szCs w:val="18"/>
                <w:color w:val="0000FF"/>
              </w:rPr>
              <w:t>Consolidated Balance Sheets</w:t>
            </w:r>
          </w:p>
        </w:tc>
        <w:tc>
          <w:tcPr>
            <w:tcW w:w="474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32</w:t>
            </w:r>
          </w:p>
        </w:tc>
      </w:tr>
      <w:tr>
        <w:trPr>
          <w:trHeight w:val="20"/>
        </w:trPr>
        <w:tc>
          <w:tcPr>
            <w:tcW w:w="20" w:type="dxa"/>
            <w:vAlign w:val="bottom"/>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440" w:type="dxa"/>
            <w:vAlign w:val="bottom"/>
            <w:gridSpan w:val="4"/>
          </w:tcPr>
          <w:p>
            <w:pPr>
              <w:spacing w:after="0"/>
              <w:rPr>
                <w:sz w:val="20"/>
                <w:szCs w:val="20"/>
                <w:color w:val="auto"/>
              </w:rPr>
            </w:pPr>
            <w:r>
              <w:rPr>
                <w:rFonts w:ascii="Arial" w:cs="Arial" w:eastAsia="Arial" w:hAnsi="Arial"/>
                <w:sz w:val="18"/>
                <w:szCs w:val="18"/>
                <w:color w:val="0000FF"/>
                <w:w w:val="99"/>
              </w:rPr>
              <w:t>Consolidated Statements of (Deficit) Equity</w:t>
            </w:r>
          </w:p>
        </w:tc>
        <w:tc>
          <w:tcPr>
            <w:tcW w:w="2820" w:type="dxa"/>
            <w:vAlign w:val="bottom"/>
            <w:gridSpan w:val="3"/>
          </w:tcPr>
          <w:p>
            <w:pPr>
              <w:spacing w:after="0"/>
              <w:rPr>
                <w:sz w:val="24"/>
                <w:szCs w:val="24"/>
                <w:color w:val="auto"/>
              </w:rPr>
            </w:pPr>
          </w:p>
        </w:tc>
        <w:tc>
          <w:tcPr>
            <w:tcW w:w="474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34</w:t>
            </w:r>
          </w:p>
        </w:tc>
      </w:tr>
      <w:tr>
        <w:trPr>
          <w:trHeight w:val="20"/>
        </w:trPr>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440" w:type="dxa"/>
            <w:vAlign w:val="bottom"/>
            <w:gridSpan w:val="4"/>
          </w:tcPr>
          <w:p>
            <w:pPr>
              <w:spacing w:after="0"/>
              <w:rPr>
                <w:sz w:val="20"/>
                <w:szCs w:val="20"/>
                <w:color w:val="auto"/>
              </w:rPr>
            </w:pPr>
            <w:r>
              <w:rPr>
                <w:rFonts w:ascii="Arial" w:cs="Arial" w:eastAsia="Arial" w:hAnsi="Arial"/>
                <w:sz w:val="18"/>
                <w:szCs w:val="18"/>
                <w:color w:val="0000FF"/>
              </w:rPr>
              <w:t>Consolidated Statements of Cash Flows</w:t>
            </w:r>
          </w:p>
        </w:tc>
        <w:tc>
          <w:tcPr>
            <w:tcW w:w="2820" w:type="dxa"/>
            <w:vAlign w:val="bottom"/>
            <w:gridSpan w:val="3"/>
          </w:tcPr>
          <w:p>
            <w:pPr>
              <w:spacing w:after="0"/>
              <w:rPr>
                <w:sz w:val="24"/>
                <w:szCs w:val="24"/>
                <w:color w:val="auto"/>
              </w:rPr>
            </w:pPr>
          </w:p>
        </w:tc>
        <w:tc>
          <w:tcPr>
            <w:tcW w:w="474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35</w:t>
            </w:r>
          </w:p>
        </w:tc>
      </w:tr>
      <w:tr>
        <w:trPr>
          <w:trHeight w:val="20"/>
        </w:trPr>
        <w:tc>
          <w:tcPr>
            <w:tcW w:w="20" w:type="dxa"/>
            <w:vAlign w:val="bottom"/>
          </w:tcPr>
          <w:p>
            <w:pPr>
              <w:spacing w:after="0" w:line="20" w:lineRule="exact"/>
              <w:rPr>
                <w:sz w:val="1"/>
                <w:szCs w:val="1"/>
                <w:color w:val="auto"/>
              </w:rPr>
            </w:pPr>
          </w:p>
        </w:tc>
        <w:tc>
          <w:tcPr>
            <w:tcW w:w="3200" w:type="dxa"/>
            <w:vAlign w:val="bottom"/>
            <w:gridSpan w:val="3"/>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6260" w:type="dxa"/>
            <w:vAlign w:val="bottom"/>
            <w:gridSpan w:val="7"/>
          </w:tcPr>
          <w:p>
            <w:pPr>
              <w:spacing w:after="0"/>
              <w:rPr>
                <w:sz w:val="20"/>
                <w:szCs w:val="20"/>
                <w:color w:val="auto"/>
              </w:rPr>
            </w:pPr>
            <w:r>
              <w:rPr>
                <w:rFonts w:ascii="Arial" w:cs="Arial" w:eastAsia="Arial" w:hAnsi="Arial"/>
                <w:sz w:val="18"/>
                <w:szCs w:val="18"/>
                <w:color w:val="0000FF"/>
              </w:rPr>
              <w:t>Notes to Consolidated Financial Statements</w:t>
            </w:r>
          </w:p>
        </w:tc>
        <w:tc>
          <w:tcPr>
            <w:tcW w:w="4960" w:type="dxa"/>
            <w:vAlign w:val="bottom"/>
            <w:gridSpan w:val="3"/>
          </w:tcPr>
          <w:p>
            <w:pPr>
              <w:jc w:val="right"/>
              <w:ind w:right="20"/>
              <w:spacing w:after="0"/>
              <w:rPr>
                <w:sz w:val="20"/>
                <w:szCs w:val="20"/>
                <w:color w:val="auto"/>
              </w:rPr>
            </w:pPr>
            <w:r>
              <w:rPr>
                <w:rFonts w:ascii="Arial" w:cs="Arial" w:eastAsia="Arial" w:hAnsi="Arial"/>
                <w:sz w:val="18"/>
                <w:szCs w:val="18"/>
                <w:color w:val="0000FF"/>
              </w:rPr>
              <w:t>36</w:t>
            </w:r>
          </w:p>
        </w:tc>
      </w:tr>
      <w:tr>
        <w:trPr>
          <w:trHeight w:val="20"/>
        </w:trPr>
        <w:tc>
          <w:tcPr>
            <w:tcW w:w="20" w:type="dxa"/>
            <w:vAlign w:val="bottom"/>
          </w:tcPr>
          <w:p>
            <w:pPr>
              <w:spacing w:after="0" w:line="20" w:lineRule="exact"/>
              <w:rPr>
                <w:sz w:val="1"/>
                <w:szCs w:val="1"/>
                <w:color w:val="auto"/>
              </w:rPr>
            </w:pPr>
          </w:p>
        </w:tc>
        <w:tc>
          <w:tcPr>
            <w:tcW w:w="3500" w:type="dxa"/>
            <w:vAlign w:val="bottom"/>
            <w:gridSpan w:val="5"/>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6260" w:type="dxa"/>
            <w:vAlign w:val="bottom"/>
            <w:gridSpan w:val="7"/>
          </w:tcPr>
          <w:p>
            <w:pPr>
              <w:spacing w:after="0"/>
              <w:rPr>
                <w:sz w:val="20"/>
                <w:szCs w:val="20"/>
                <w:color w:val="auto"/>
              </w:rPr>
            </w:pPr>
            <w:r>
              <w:rPr>
                <w:rFonts w:ascii="Arial" w:cs="Arial" w:eastAsia="Arial" w:hAnsi="Arial"/>
                <w:sz w:val="18"/>
                <w:szCs w:val="18"/>
                <w:color w:val="0000FF"/>
              </w:rPr>
              <w:t>Report of Independent Registered Public Accounting Firm</w:t>
            </w:r>
          </w:p>
        </w:tc>
        <w:tc>
          <w:tcPr>
            <w:tcW w:w="4960" w:type="dxa"/>
            <w:vAlign w:val="bottom"/>
            <w:gridSpan w:val="3"/>
          </w:tcPr>
          <w:p>
            <w:pPr>
              <w:jc w:val="right"/>
              <w:ind w:right="20"/>
              <w:spacing w:after="0"/>
              <w:rPr>
                <w:sz w:val="20"/>
                <w:szCs w:val="20"/>
                <w:color w:val="auto"/>
              </w:rPr>
            </w:pPr>
            <w:r>
              <w:rPr>
                <w:rFonts w:ascii="Arial" w:cs="Arial" w:eastAsia="Arial" w:hAnsi="Arial"/>
                <w:sz w:val="18"/>
                <w:szCs w:val="18"/>
                <w:color w:val="0000FF"/>
              </w:rPr>
              <w:t>68</w:t>
            </w:r>
          </w:p>
        </w:tc>
      </w:tr>
      <w:tr>
        <w:trPr>
          <w:trHeight w:val="943"/>
        </w:trPr>
        <w:tc>
          <w:tcPr>
            <w:tcW w:w="20" w:type="dxa"/>
            <w:vAlign w:val="bottom"/>
          </w:tcPr>
          <w:p>
            <w:pPr>
              <w:spacing w:after="0"/>
              <w:rPr>
                <w:sz w:val="24"/>
                <w:szCs w:val="24"/>
                <w:color w:val="auto"/>
              </w:rPr>
            </w:pPr>
          </w:p>
        </w:tc>
        <w:tc>
          <w:tcPr>
            <w:tcW w:w="4600" w:type="dxa"/>
            <w:vAlign w:val="bottom"/>
            <w:tcBorders>
              <w:top w:val="single" w:sz="8" w:color="0000FF"/>
            </w:tcBorders>
            <w:gridSpan w:val="6"/>
          </w:tcPr>
          <w:p>
            <w:pPr>
              <w:spacing w:after="0"/>
              <w:rPr>
                <w:sz w:val="24"/>
                <w:szCs w:val="24"/>
                <w:color w:val="auto"/>
              </w:rPr>
            </w:pPr>
          </w:p>
        </w:tc>
        <w:tc>
          <w:tcPr>
            <w:tcW w:w="1660" w:type="dxa"/>
            <w:vAlign w:val="bottom"/>
          </w:tcPr>
          <w:p>
            <w:pPr>
              <w:jc w:val="right"/>
              <w:ind w:right="470"/>
              <w:spacing w:after="0"/>
              <w:rPr>
                <w:sz w:val="20"/>
                <w:szCs w:val="20"/>
                <w:color w:val="auto"/>
              </w:rPr>
            </w:pPr>
            <w:r>
              <w:rPr>
                <w:rFonts w:ascii="Arial" w:cs="Arial" w:eastAsia="Arial" w:hAnsi="Arial"/>
                <w:sz w:val="18"/>
                <w:szCs w:val="18"/>
                <w:color w:val="auto"/>
              </w:rPr>
              <w:t>30</w:t>
            </w:r>
          </w:p>
        </w:tc>
        <w:tc>
          <w:tcPr>
            <w:tcW w:w="474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98"/>
        </w:trPr>
        <w:tc>
          <w:tcPr>
            <w:tcW w:w="2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c>
          <w:tcPr>
            <w:tcW w:w="47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(LOSS) INCOME AND COMPREHENSIVE (LOSS) INCOME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 Except Per Common Share Data)</w:t>
            </w:r>
          </w:p>
        </w:tc>
        <w:tc>
          <w:tcPr>
            <w:tcW w:w="18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2024</w:t>
            </w:r>
          </w:p>
        </w:tc>
        <w:tc>
          <w:tcPr>
            <w:tcW w:w="15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2023</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2022</w:t>
            </w:r>
          </w:p>
        </w:tc>
      </w:tr>
      <w:tr>
        <w:trPr>
          <w:trHeight w:val="223"/>
        </w:trPr>
        <w:tc>
          <w:tcPr>
            <w:tcW w:w="6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6620" w:type="dxa"/>
            <w:vAlign w:val="bottom"/>
            <w:shd w:val="clear" w:color="auto" w:fill="CCEDFF"/>
          </w:tcPr>
          <w:p>
            <w:pPr>
              <w:ind w:left="20"/>
              <w:spacing w:after="0"/>
              <w:rPr>
                <w:sz w:val="20"/>
                <w:szCs w:val="20"/>
                <w:color w:val="auto"/>
              </w:rPr>
            </w:pPr>
            <w:r>
              <w:rPr>
                <w:rFonts w:ascii="Arial" w:cs="Arial" w:eastAsia="Arial" w:hAnsi="Arial"/>
                <w:sz w:val="18"/>
                <w:szCs w:val="18"/>
                <w:color w:val="auto"/>
              </w:rPr>
              <w:t>Operating revenue:</w:t>
            </w:r>
          </w:p>
        </w:tc>
        <w:tc>
          <w:tcPr>
            <w:tcW w:w="1880" w:type="dxa"/>
            <w:vAlign w:val="bottom"/>
            <w:shd w:val="clear" w:color="auto" w:fill="CCEDFF"/>
          </w:tcPr>
          <w:p>
            <w:pPr>
              <w:spacing w:after="0"/>
              <w:rPr>
                <w:sz w:val="19"/>
                <w:szCs w:val="19"/>
                <w:color w:val="auto"/>
              </w:rPr>
            </w:pPr>
          </w:p>
        </w:tc>
        <w:tc>
          <w:tcPr>
            <w:tcW w:w="1580" w:type="dxa"/>
            <w:vAlign w:val="bottom"/>
            <w:shd w:val="clear" w:color="auto" w:fill="CCEDFF"/>
          </w:tcPr>
          <w:p>
            <w:pPr>
              <w:spacing w:after="0"/>
              <w:rPr>
                <w:sz w:val="19"/>
                <w:szCs w:val="19"/>
                <w:color w:val="auto"/>
              </w:rPr>
            </w:pPr>
          </w:p>
        </w:tc>
        <w:tc>
          <w:tcPr>
            <w:tcW w:w="1160" w:type="dxa"/>
            <w:vAlign w:val="bottom"/>
            <w:shd w:val="clear" w:color="auto" w:fill="CCEDFF"/>
          </w:tcPr>
          <w:p>
            <w:pPr>
              <w:spacing w:after="0"/>
              <w:rPr>
                <w:sz w:val="19"/>
                <w:szCs w:val="19"/>
                <w:color w:val="auto"/>
              </w:rPr>
            </w:pPr>
          </w:p>
        </w:tc>
      </w:tr>
      <w:tr>
        <w:trPr>
          <w:trHeight w:val="229"/>
        </w:trPr>
        <w:tc>
          <w:tcPr>
            <w:tcW w:w="6620" w:type="dxa"/>
            <w:vAlign w:val="bottom"/>
          </w:tcPr>
          <w:p>
            <w:pPr>
              <w:ind w:left="140"/>
              <w:spacing w:after="0"/>
              <w:rPr>
                <w:sz w:val="20"/>
                <w:szCs w:val="20"/>
                <w:color w:val="auto"/>
              </w:rPr>
            </w:pPr>
            <w:r>
              <w:rPr>
                <w:rFonts w:ascii="Arial" w:cs="Arial" w:eastAsia="Arial" w:hAnsi="Arial"/>
                <w:sz w:val="18"/>
                <w:szCs w:val="18"/>
                <w:color w:val="auto"/>
              </w:rPr>
              <w:t>Advertising and marketing services</w:t>
            </w:r>
          </w:p>
        </w:tc>
        <w:tc>
          <w:tcPr>
            <w:tcW w:w="1880" w:type="dxa"/>
            <w:vAlign w:val="bottom"/>
          </w:tcPr>
          <w:p>
            <w:pPr>
              <w:jc w:val="right"/>
              <w:ind w:right="450"/>
              <w:spacing w:after="0"/>
              <w:rPr>
                <w:sz w:val="20"/>
                <w:szCs w:val="20"/>
                <w:color w:val="auto"/>
              </w:rPr>
            </w:pPr>
            <w:r>
              <w:rPr>
                <w:rFonts w:ascii="Arial" w:cs="Arial" w:eastAsia="Arial" w:hAnsi="Arial"/>
                <w:sz w:val="18"/>
                <w:szCs w:val="18"/>
                <w:color w:val="auto"/>
              </w:rPr>
              <w:t>275,701</w:t>
            </w:r>
          </w:p>
        </w:tc>
        <w:tc>
          <w:tcPr>
            <w:tcW w:w="1580" w:type="dxa"/>
            <w:vAlign w:val="bottom"/>
          </w:tcPr>
          <w:p>
            <w:pPr>
              <w:jc w:val="right"/>
              <w:ind w:right="410"/>
              <w:spacing w:after="0"/>
              <w:rPr>
                <w:sz w:val="20"/>
                <w:szCs w:val="20"/>
                <w:color w:val="auto"/>
              </w:rPr>
            </w:pPr>
            <w:r>
              <w:rPr>
                <w:rFonts w:ascii="Arial" w:cs="Arial" w:eastAsia="Arial" w:hAnsi="Arial"/>
                <w:sz w:val="18"/>
                <w:szCs w:val="18"/>
                <w:color w:val="auto"/>
              </w:rPr>
              <w:t>318,977</w:t>
            </w:r>
          </w:p>
        </w:tc>
        <w:tc>
          <w:tcPr>
            <w:tcW w:w="1160" w:type="dxa"/>
            <w:vAlign w:val="bottom"/>
          </w:tcPr>
          <w:p>
            <w:pPr>
              <w:jc w:val="right"/>
              <w:spacing w:after="0"/>
              <w:rPr>
                <w:sz w:val="20"/>
                <w:szCs w:val="20"/>
                <w:color w:val="auto"/>
              </w:rPr>
            </w:pPr>
            <w:r>
              <w:rPr>
                <w:rFonts w:ascii="Arial" w:cs="Arial" w:eastAsia="Arial" w:hAnsi="Arial"/>
                <w:sz w:val="18"/>
                <w:szCs w:val="18"/>
                <w:color w:val="auto"/>
              </w:rPr>
              <w:t>366,428</w:t>
            </w:r>
          </w:p>
        </w:tc>
      </w:tr>
      <w:tr>
        <w:trPr>
          <w:trHeight w:val="229"/>
        </w:trPr>
        <w:tc>
          <w:tcPr>
            <w:tcW w:w="6620" w:type="dxa"/>
            <w:vAlign w:val="bottom"/>
            <w:shd w:val="clear" w:color="auto" w:fill="CCEDFF"/>
          </w:tcPr>
          <w:p>
            <w:pPr>
              <w:ind w:left="140"/>
              <w:spacing w:after="0"/>
              <w:rPr>
                <w:sz w:val="20"/>
                <w:szCs w:val="20"/>
                <w:color w:val="auto"/>
              </w:rPr>
            </w:pPr>
            <w:r>
              <w:rPr>
                <w:rFonts w:ascii="Arial" w:cs="Arial" w:eastAsia="Arial" w:hAnsi="Arial"/>
                <w:sz w:val="18"/>
                <w:szCs w:val="18"/>
                <w:color w:val="auto"/>
              </w:rPr>
              <w:t>Subscription</w:t>
            </w:r>
          </w:p>
        </w:tc>
        <w:tc>
          <w:tcPr>
            <w:tcW w:w="1880" w:type="dxa"/>
            <w:vAlign w:val="bottom"/>
            <w:shd w:val="clear" w:color="auto" w:fill="CCEDFF"/>
          </w:tcPr>
          <w:p>
            <w:pPr>
              <w:jc w:val="right"/>
              <w:ind w:right="450"/>
              <w:spacing w:after="0"/>
              <w:rPr>
                <w:sz w:val="20"/>
                <w:szCs w:val="20"/>
                <w:color w:val="auto"/>
              </w:rPr>
            </w:pPr>
            <w:r>
              <w:rPr>
                <w:rFonts w:ascii="Arial" w:cs="Arial" w:eastAsia="Arial" w:hAnsi="Arial"/>
                <w:sz w:val="18"/>
                <w:szCs w:val="18"/>
                <w:color w:val="auto"/>
              </w:rPr>
              <w:t>281,915</w:t>
            </w:r>
          </w:p>
        </w:tc>
        <w:tc>
          <w:tcPr>
            <w:tcW w:w="158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313,291</w:t>
            </w:r>
          </w:p>
        </w:tc>
        <w:tc>
          <w:tcPr>
            <w:tcW w:w="1160" w:type="dxa"/>
            <w:vAlign w:val="bottom"/>
            <w:shd w:val="clear" w:color="auto" w:fill="CCEDFF"/>
          </w:tcPr>
          <w:p>
            <w:pPr>
              <w:jc w:val="right"/>
              <w:spacing w:after="0"/>
              <w:rPr>
                <w:sz w:val="20"/>
                <w:szCs w:val="20"/>
                <w:color w:val="auto"/>
              </w:rPr>
            </w:pPr>
            <w:r>
              <w:rPr>
                <w:rFonts w:ascii="Arial" w:cs="Arial" w:eastAsia="Arial" w:hAnsi="Arial"/>
                <w:sz w:val="18"/>
                <w:szCs w:val="18"/>
                <w:color w:val="auto"/>
              </w:rPr>
              <w:t>353,624</w:t>
            </w:r>
          </w:p>
        </w:tc>
      </w:tr>
      <w:tr>
        <w:trPr>
          <w:trHeight w:val="230"/>
        </w:trPr>
        <w:tc>
          <w:tcPr>
            <w:tcW w:w="66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w:t>
            </w:r>
          </w:p>
        </w:tc>
        <w:tc>
          <w:tcPr>
            <w:tcW w:w="18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53,764</w:t>
            </w:r>
          </w:p>
        </w:tc>
        <w:tc>
          <w:tcPr>
            <w:tcW w:w="15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58,870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60,917</w:t>
            </w:r>
          </w:p>
        </w:tc>
      </w:tr>
      <w:tr>
        <w:trPr>
          <w:trHeight w:val="223"/>
        </w:trPr>
        <w:tc>
          <w:tcPr>
            <w:tcW w:w="662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Total operating revenue</w:t>
            </w:r>
          </w:p>
        </w:tc>
        <w:tc>
          <w:tcPr>
            <w:tcW w:w="1880" w:type="dxa"/>
            <w:vAlign w:val="bottom"/>
            <w:tcBorders>
              <w:bottom w:val="single" w:sz="8" w:color="auto"/>
            </w:tcBorders>
            <w:shd w:val="clear" w:color="auto" w:fill="CCEDFF"/>
          </w:tcPr>
          <w:p>
            <w:pPr>
              <w:jc w:val="right"/>
              <w:ind w:right="450"/>
              <w:spacing w:after="0"/>
              <w:rPr>
                <w:sz w:val="20"/>
                <w:szCs w:val="20"/>
                <w:color w:val="auto"/>
              </w:rPr>
            </w:pPr>
            <w:r>
              <w:rPr>
                <w:rFonts w:ascii="Arial" w:cs="Arial" w:eastAsia="Arial" w:hAnsi="Arial"/>
                <w:sz w:val="18"/>
                <w:szCs w:val="18"/>
                <w:color w:val="auto"/>
              </w:rPr>
              <w:t>611,380</w:t>
            </w:r>
          </w:p>
        </w:tc>
        <w:tc>
          <w:tcPr>
            <w:tcW w:w="1580" w:type="dxa"/>
            <w:vAlign w:val="bottom"/>
            <w:tcBorders>
              <w:bottom w:val="single" w:sz="8" w:color="auto"/>
            </w:tcBorders>
            <w:shd w:val="clear" w:color="auto" w:fill="CCEDFF"/>
          </w:tcPr>
          <w:p>
            <w:pPr>
              <w:jc w:val="right"/>
              <w:ind w:right="410"/>
              <w:spacing w:after="0"/>
              <w:rPr>
                <w:sz w:val="20"/>
                <w:szCs w:val="20"/>
                <w:color w:val="auto"/>
              </w:rPr>
            </w:pPr>
            <w:r>
              <w:rPr>
                <w:rFonts w:ascii="Arial" w:cs="Arial" w:eastAsia="Arial" w:hAnsi="Arial"/>
                <w:sz w:val="18"/>
                <w:szCs w:val="18"/>
                <w:color w:val="auto"/>
              </w:rPr>
              <w:t>691,138</w:t>
            </w:r>
          </w:p>
        </w:tc>
        <w:tc>
          <w:tcPr>
            <w:tcW w:w="116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780,969</w:t>
            </w: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620" w:type="dxa"/>
            <w:vAlign w:val="bottom"/>
            <w:shd w:val="clear" w:color="auto" w:fill="CCEDFF"/>
          </w:tcPr>
          <w:p>
            <w:pPr>
              <w:ind w:left="140"/>
              <w:spacing w:after="0"/>
              <w:rPr>
                <w:sz w:val="20"/>
                <w:szCs w:val="20"/>
                <w:color w:val="auto"/>
              </w:rPr>
            </w:pPr>
            <w:r>
              <w:rPr>
                <w:rFonts w:ascii="Arial" w:cs="Arial" w:eastAsia="Arial" w:hAnsi="Arial"/>
                <w:sz w:val="18"/>
                <w:szCs w:val="18"/>
                <w:color w:val="auto"/>
              </w:rPr>
              <w:t>Compensation</w:t>
            </w:r>
          </w:p>
        </w:tc>
        <w:tc>
          <w:tcPr>
            <w:tcW w:w="1880" w:type="dxa"/>
            <w:vAlign w:val="bottom"/>
            <w:shd w:val="clear" w:color="auto" w:fill="CCEDFF"/>
          </w:tcPr>
          <w:p>
            <w:pPr>
              <w:jc w:val="right"/>
              <w:ind w:right="450"/>
              <w:spacing w:after="0"/>
              <w:rPr>
                <w:sz w:val="20"/>
                <w:szCs w:val="20"/>
                <w:color w:val="auto"/>
              </w:rPr>
            </w:pPr>
            <w:r>
              <w:rPr>
                <w:rFonts w:ascii="Arial" w:cs="Arial" w:eastAsia="Arial" w:hAnsi="Arial"/>
                <w:sz w:val="18"/>
                <w:szCs w:val="18"/>
                <w:color w:val="auto"/>
              </w:rPr>
              <w:t>234,581</w:t>
            </w:r>
          </w:p>
        </w:tc>
        <w:tc>
          <w:tcPr>
            <w:tcW w:w="158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266,907</w:t>
            </w:r>
          </w:p>
        </w:tc>
        <w:tc>
          <w:tcPr>
            <w:tcW w:w="1160" w:type="dxa"/>
            <w:vAlign w:val="bottom"/>
            <w:shd w:val="clear" w:color="auto" w:fill="CCEDFF"/>
          </w:tcPr>
          <w:p>
            <w:pPr>
              <w:jc w:val="right"/>
              <w:spacing w:after="0"/>
              <w:rPr>
                <w:sz w:val="20"/>
                <w:szCs w:val="20"/>
                <w:color w:val="auto"/>
              </w:rPr>
            </w:pPr>
            <w:r>
              <w:rPr>
                <w:rFonts w:ascii="Arial" w:cs="Arial" w:eastAsia="Arial" w:hAnsi="Arial"/>
                <w:sz w:val="18"/>
                <w:szCs w:val="18"/>
                <w:color w:val="auto"/>
              </w:rPr>
              <w:t>317,789</w:t>
            </w:r>
          </w:p>
        </w:tc>
      </w:tr>
      <w:tr>
        <w:trPr>
          <w:trHeight w:val="230"/>
        </w:trPr>
        <w:tc>
          <w:tcPr>
            <w:tcW w:w="6620" w:type="dxa"/>
            <w:vAlign w:val="bottom"/>
          </w:tcPr>
          <w:p>
            <w:pPr>
              <w:ind w:left="140"/>
              <w:spacing w:after="0"/>
              <w:rPr>
                <w:sz w:val="20"/>
                <w:szCs w:val="20"/>
                <w:color w:val="auto"/>
              </w:rPr>
            </w:pPr>
            <w:r>
              <w:rPr>
                <w:rFonts w:ascii="Arial" w:cs="Arial" w:eastAsia="Arial" w:hAnsi="Arial"/>
                <w:sz w:val="18"/>
                <w:szCs w:val="18"/>
                <w:color w:val="auto"/>
              </w:rPr>
              <w:t>Newsprint and ink</w:t>
            </w:r>
          </w:p>
        </w:tc>
        <w:tc>
          <w:tcPr>
            <w:tcW w:w="1880" w:type="dxa"/>
            <w:vAlign w:val="bottom"/>
          </w:tcPr>
          <w:p>
            <w:pPr>
              <w:jc w:val="right"/>
              <w:ind w:right="450"/>
              <w:spacing w:after="0"/>
              <w:rPr>
                <w:sz w:val="20"/>
                <w:szCs w:val="20"/>
                <w:color w:val="auto"/>
              </w:rPr>
            </w:pPr>
            <w:r>
              <w:rPr>
                <w:rFonts w:ascii="Arial" w:cs="Arial" w:eastAsia="Arial" w:hAnsi="Arial"/>
                <w:sz w:val="18"/>
                <w:szCs w:val="18"/>
                <w:color w:val="auto"/>
              </w:rPr>
              <w:t>16,813</w:t>
            </w:r>
          </w:p>
        </w:tc>
        <w:tc>
          <w:tcPr>
            <w:tcW w:w="1580" w:type="dxa"/>
            <w:vAlign w:val="bottom"/>
          </w:tcPr>
          <w:p>
            <w:pPr>
              <w:jc w:val="right"/>
              <w:ind w:right="410"/>
              <w:spacing w:after="0"/>
              <w:rPr>
                <w:sz w:val="20"/>
                <w:szCs w:val="20"/>
                <w:color w:val="auto"/>
              </w:rPr>
            </w:pPr>
            <w:r>
              <w:rPr>
                <w:rFonts w:ascii="Arial" w:cs="Arial" w:eastAsia="Arial" w:hAnsi="Arial"/>
                <w:sz w:val="18"/>
                <w:szCs w:val="18"/>
                <w:color w:val="auto"/>
              </w:rPr>
              <w:t>25,346</w:t>
            </w:r>
          </w:p>
        </w:tc>
        <w:tc>
          <w:tcPr>
            <w:tcW w:w="1160" w:type="dxa"/>
            <w:vAlign w:val="bottom"/>
          </w:tcPr>
          <w:p>
            <w:pPr>
              <w:jc w:val="right"/>
              <w:spacing w:after="0"/>
              <w:rPr>
                <w:sz w:val="20"/>
                <w:szCs w:val="20"/>
                <w:color w:val="auto"/>
              </w:rPr>
            </w:pPr>
            <w:r>
              <w:rPr>
                <w:rFonts w:ascii="Arial" w:cs="Arial" w:eastAsia="Arial" w:hAnsi="Arial"/>
                <w:sz w:val="18"/>
                <w:szCs w:val="18"/>
                <w:color w:val="auto"/>
              </w:rPr>
              <w:t>30,101</w:t>
            </w:r>
          </w:p>
        </w:tc>
      </w:tr>
      <w:tr>
        <w:trPr>
          <w:trHeight w:val="229"/>
        </w:trPr>
        <w:tc>
          <w:tcPr>
            <w:tcW w:w="6620" w:type="dxa"/>
            <w:vAlign w:val="bottom"/>
            <w:shd w:val="clear" w:color="auto" w:fill="CCEDFF"/>
          </w:tcPr>
          <w:p>
            <w:pPr>
              <w:ind w:left="140"/>
              <w:spacing w:after="0"/>
              <w:rPr>
                <w:sz w:val="20"/>
                <w:szCs w:val="20"/>
                <w:color w:val="auto"/>
              </w:rPr>
            </w:pPr>
            <w:r>
              <w:rPr>
                <w:rFonts w:ascii="Arial" w:cs="Arial" w:eastAsia="Arial" w:hAnsi="Arial"/>
                <w:sz w:val="18"/>
                <w:szCs w:val="18"/>
                <w:color w:val="auto"/>
              </w:rPr>
              <w:t>Other operating expenses</w:t>
            </w:r>
          </w:p>
        </w:tc>
        <w:tc>
          <w:tcPr>
            <w:tcW w:w="1880" w:type="dxa"/>
            <w:vAlign w:val="bottom"/>
            <w:shd w:val="clear" w:color="auto" w:fill="CCEDFF"/>
          </w:tcPr>
          <w:p>
            <w:pPr>
              <w:jc w:val="right"/>
              <w:ind w:right="450"/>
              <w:spacing w:after="0"/>
              <w:rPr>
                <w:sz w:val="20"/>
                <w:szCs w:val="20"/>
                <w:color w:val="auto"/>
              </w:rPr>
            </w:pPr>
            <w:r>
              <w:rPr>
                <w:rFonts w:ascii="Arial" w:cs="Arial" w:eastAsia="Arial" w:hAnsi="Arial"/>
                <w:sz w:val="18"/>
                <w:szCs w:val="18"/>
                <w:color w:val="auto"/>
              </w:rPr>
              <w:t>301,950</w:t>
            </w:r>
          </w:p>
        </w:tc>
        <w:tc>
          <w:tcPr>
            <w:tcW w:w="158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323,067</w:t>
            </w:r>
          </w:p>
        </w:tc>
        <w:tc>
          <w:tcPr>
            <w:tcW w:w="1160" w:type="dxa"/>
            <w:vAlign w:val="bottom"/>
            <w:shd w:val="clear" w:color="auto" w:fill="CCEDFF"/>
          </w:tcPr>
          <w:p>
            <w:pPr>
              <w:jc w:val="right"/>
              <w:spacing w:after="0"/>
              <w:rPr>
                <w:sz w:val="20"/>
                <w:szCs w:val="20"/>
                <w:color w:val="auto"/>
              </w:rPr>
            </w:pPr>
            <w:r>
              <w:rPr>
                <w:rFonts w:ascii="Arial" w:cs="Arial" w:eastAsia="Arial" w:hAnsi="Arial"/>
                <w:sz w:val="18"/>
                <w:szCs w:val="18"/>
                <w:color w:val="auto"/>
              </w:rPr>
              <w:t>344,905</w:t>
            </w:r>
          </w:p>
        </w:tc>
      </w:tr>
      <w:tr>
        <w:trPr>
          <w:trHeight w:val="229"/>
        </w:trPr>
        <w:tc>
          <w:tcPr>
            <w:tcW w:w="662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880" w:type="dxa"/>
            <w:vAlign w:val="bottom"/>
          </w:tcPr>
          <w:p>
            <w:pPr>
              <w:jc w:val="right"/>
              <w:ind w:right="450"/>
              <w:spacing w:after="0"/>
              <w:rPr>
                <w:sz w:val="20"/>
                <w:szCs w:val="20"/>
                <w:color w:val="auto"/>
              </w:rPr>
            </w:pPr>
            <w:r>
              <w:rPr>
                <w:rFonts w:ascii="Arial" w:cs="Arial" w:eastAsia="Arial" w:hAnsi="Arial"/>
                <w:sz w:val="18"/>
                <w:szCs w:val="18"/>
                <w:color w:val="auto"/>
              </w:rPr>
              <w:t>27,616</w:t>
            </w:r>
          </w:p>
        </w:tc>
        <w:tc>
          <w:tcPr>
            <w:tcW w:w="1580" w:type="dxa"/>
            <w:vAlign w:val="bottom"/>
          </w:tcPr>
          <w:p>
            <w:pPr>
              <w:jc w:val="right"/>
              <w:ind w:right="410"/>
              <w:spacing w:after="0"/>
              <w:rPr>
                <w:sz w:val="20"/>
                <w:szCs w:val="20"/>
                <w:color w:val="auto"/>
              </w:rPr>
            </w:pPr>
            <w:r>
              <w:rPr>
                <w:rFonts w:ascii="Arial" w:cs="Arial" w:eastAsia="Arial" w:hAnsi="Arial"/>
                <w:sz w:val="18"/>
                <w:szCs w:val="18"/>
                <w:color w:val="auto"/>
              </w:rPr>
              <w:t>30,621</w:t>
            </w:r>
          </w:p>
        </w:tc>
        <w:tc>
          <w:tcPr>
            <w:tcW w:w="1160" w:type="dxa"/>
            <w:vAlign w:val="bottom"/>
          </w:tcPr>
          <w:p>
            <w:pPr>
              <w:jc w:val="right"/>
              <w:spacing w:after="0"/>
              <w:rPr>
                <w:sz w:val="20"/>
                <w:szCs w:val="20"/>
                <w:color w:val="auto"/>
              </w:rPr>
            </w:pPr>
            <w:r>
              <w:rPr>
                <w:rFonts w:ascii="Arial" w:cs="Arial" w:eastAsia="Arial" w:hAnsi="Arial"/>
                <w:sz w:val="18"/>
                <w:szCs w:val="18"/>
                <w:color w:val="auto"/>
              </w:rPr>
              <w:t>36,544</w:t>
            </w:r>
          </w:p>
        </w:tc>
      </w:tr>
      <w:tr>
        <w:trPr>
          <w:trHeight w:val="230"/>
        </w:trPr>
        <w:tc>
          <w:tcPr>
            <w:tcW w:w="6620" w:type="dxa"/>
            <w:vAlign w:val="bottom"/>
            <w:shd w:val="clear" w:color="auto" w:fill="CCEDFF"/>
          </w:tcPr>
          <w:p>
            <w:pPr>
              <w:ind w:left="140"/>
              <w:spacing w:after="0"/>
              <w:rPr>
                <w:sz w:val="20"/>
                <w:szCs w:val="20"/>
                <w:color w:val="auto"/>
              </w:rPr>
            </w:pPr>
            <w:r>
              <w:rPr>
                <w:rFonts w:ascii="Arial" w:cs="Arial" w:eastAsia="Arial" w:hAnsi="Arial"/>
                <w:sz w:val="18"/>
                <w:szCs w:val="18"/>
                <w:color w:val="auto"/>
              </w:rPr>
              <w:t>Assets loss on sales, impairments and other, net</w:t>
            </w:r>
          </w:p>
        </w:tc>
        <w:tc>
          <w:tcPr>
            <w:tcW w:w="1880" w:type="dxa"/>
            <w:vAlign w:val="bottom"/>
            <w:shd w:val="clear" w:color="auto" w:fill="CCEDFF"/>
          </w:tcPr>
          <w:p>
            <w:pPr>
              <w:jc w:val="right"/>
              <w:ind w:right="450"/>
              <w:spacing w:after="0"/>
              <w:rPr>
                <w:sz w:val="20"/>
                <w:szCs w:val="20"/>
                <w:color w:val="auto"/>
              </w:rPr>
            </w:pPr>
            <w:r>
              <w:rPr>
                <w:rFonts w:ascii="Arial" w:cs="Arial" w:eastAsia="Arial" w:hAnsi="Arial"/>
                <w:sz w:val="18"/>
                <w:szCs w:val="18"/>
                <w:color w:val="auto"/>
              </w:rPr>
              <w:t>11,193</w:t>
            </w:r>
          </w:p>
        </w:tc>
        <w:tc>
          <w:tcPr>
            <w:tcW w:w="158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1,882</w:t>
            </w:r>
          </w:p>
        </w:tc>
        <w:tc>
          <w:tcPr>
            <w:tcW w:w="1160" w:type="dxa"/>
            <w:vAlign w:val="bottom"/>
            <w:shd w:val="clear" w:color="auto" w:fill="CCEDFF"/>
          </w:tcPr>
          <w:p>
            <w:pPr>
              <w:jc w:val="right"/>
              <w:spacing w:after="0"/>
              <w:rPr>
                <w:sz w:val="20"/>
                <w:szCs w:val="20"/>
                <w:color w:val="auto"/>
              </w:rPr>
            </w:pPr>
            <w:r>
              <w:rPr>
                <w:rFonts w:ascii="Arial" w:cs="Arial" w:eastAsia="Arial" w:hAnsi="Arial"/>
                <w:sz w:val="18"/>
                <w:szCs w:val="18"/>
                <w:color w:val="auto"/>
              </w:rPr>
              <w:t>9,716</w:t>
            </w:r>
          </w:p>
        </w:tc>
      </w:tr>
      <w:tr>
        <w:trPr>
          <w:trHeight w:val="229"/>
        </w:trPr>
        <w:tc>
          <w:tcPr>
            <w:tcW w:w="66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Restructuring costs and other</w:t>
            </w:r>
          </w:p>
        </w:tc>
        <w:tc>
          <w:tcPr>
            <w:tcW w:w="18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19,253</w:t>
            </w:r>
          </w:p>
        </w:tc>
        <w:tc>
          <w:tcPr>
            <w:tcW w:w="15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12,673</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22,720</w:t>
            </w:r>
          </w:p>
        </w:tc>
      </w:tr>
      <w:tr>
        <w:trPr>
          <w:trHeight w:val="223"/>
        </w:trPr>
        <w:tc>
          <w:tcPr>
            <w:tcW w:w="6620" w:type="dxa"/>
            <w:vAlign w:val="bottom"/>
            <w:shd w:val="clear" w:color="auto" w:fill="CCEDFF"/>
          </w:tcPr>
          <w:p>
            <w:pPr>
              <w:ind w:left="20"/>
              <w:spacing w:after="0"/>
              <w:rPr>
                <w:sz w:val="20"/>
                <w:szCs w:val="20"/>
                <w:color w:val="auto"/>
              </w:rPr>
            </w:pPr>
            <w:r>
              <w:rPr>
                <w:rFonts w:ascii="Arial" w:cs="Arial" w:eastAsia="Arial" w:hAnsi="Arial"/>
                <w:sz w:val="18"/>
                <w:szCs w:val="18"/>
                <w:color w:val="auto"/>
              </w:rPr>
              <w:t>Total operating expenses</w:t>
            </w:r>
          </w:p>
        </w:tc>
        <w:tc>
          <w:tcPr>
            <w:tcW w:w="1880" w:type="dxa"/>
            <w:vAlign w:val="bottom"/>
            <w:shd w:val="clear" w:color="auto" w:fill="CCEDFF"/>
          </w:tcPr>
          <w:p>
            <w:pPr>
              <w:jc w:val="right"/>
              <w:ind w:right="450"/>
              <w:spacing w:after="0"/>
              <w:rPr>
                <w:sz w:val="20"/>
                <w:szCs w:val="20"/>
                <w:color w:val="auto"/>
              </w:rPr>
            </w:pPr>
            <w:r>
              <w:rPr>
                <w:rFonts w:ascii="Arial" w:cs="Arial" w:eastAsia="Arial" w:hAnsi="Arial"/>
                <w:sz w:val="18"/>
                <w:szCs w:val="18"/>
                <w:color w:val="auto"/>
              </w:rPr>
              <w:t>611,406</w:t>
            </w:r>
          </w:p>
        </w:tc>
        <w:tc>
          <w:tcPr>
            <w:tcW w:w="158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660,496</w:t>
            </w:r>
          </w:p>
        </w:tc>
        <w:tc>
          <w:tcPr>
            <w:tcW w:w="1160" w:type="dxa"/>
            <w:vAlign w:val="bottom"/>
            <w:shd w:val="clear" w:color="auto" w:fill="CCEDFF"/>
          </w:tcPr>
          <w:p>
            <w:pPr>
              <w:jc w:val="right"/>
              <w:spacing w:after="0"/>
              <w:rPr>
                <w:sz w:val="20"/>
                <w:szCs w:val="20"/>
                <w:color w:val="auto"/>
              </w:rPr>
            </w:pPr>
            <w:r>
              <w:rPr>
                <w:rFonts w:ascii="Arial" w:cs="Arial" w:eastAsia="Arial" w:hAnsi="Arial"/>
                <w:sz w:val="18"/>
                <w:szCs w:val="18"/>
                <w:color w:val="auto"/>
              </w:rPr>
              <w:t>761,775</w:t>
            </w:r>
          </w:p>
        </w:tc>
      </w:tr>
      <w:tr>
        <w:trPr>
          <w:trHeight w:val="229"/>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Equity in earnings of associated companies</w:t>
            </w:r>
          </w:p>
        </w:tc>
        <w:tc>
          <w:tcPr>
            <w:tcW w:w="18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4,572</w:t>
            </w:r>
          </w:p>
        </w:tc>
        <w:tc>
          <w:tcPr>
            <w:tcW w:w="15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6,527</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5,657</w:t>
            </w:r>
          </w:p>
        </w:tc>
      </w:tr>
      <w:tr>
        <w:trPr>
          <w:trHeight w:val="223"/>
        </w:trPr>
        <w:tc>
          <w:tcPr>
            <w:tcW w:w="662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Operating income</w:t>
            </w:r>
          </w:p>
        </w:tc>
        <w:tc>
          <w:tcPr>
            <w:tcW w:w="1880" w:type="dxa"/>
            <w:vAlign w:val="bottom"/>
            <w:tcBorders>
              <w:bottom w:val="single" w:sz="8" w:color="auto"/>
            </w:tcBorders>
            <w:shd w:val="clear" w:color="auto" w:fill="CCEDFF"/>
          </w:tcPr>
          <w:p>
            <w:pPr>
              <w:jc w:val="right"/>
              <w:ind w:right="450"/>
              <w:spacing w:after="0"/>
              <w:rPr>
                <w:sz w:val="20"/>
                <w:szCs w:val="20"/>
                <w:color w:val="auto"/>
              </w:rPr>
            </w:pPr>
            <w:r>
              <w:rPr>
                <w:rFonts w:ascii="Arial" w:cs="Arial" w:eastAsia="Arial" w:hAnsi="Arial"/>
                <w:sz w:val="18"/>
                <w:szCs w:val="18"/>
                <w:color w:val="auto"/>
              </w:rPr>
              <w:t>4,546</w:t>
            </w:r>
          </w:p>
        </w:tc>
        <w:tc>
          <w:tcPr>
            <w:tcW w:w="1580" w:type="dxa"/>
            <w:vAlign w:val="bottom"/>
            <w:tcBorders>
              <w:bottom w:val="single" w:sz="8" w:color="auto"/>
            </w:tcBorders>
            <w:shd w:val="clear" w:color="auto" w:fill="CCEDFF"/>
          </w:tcPr>
          <w:p>
            <w:pPr>
              <w:jc w:val="right"/>
              <w:ind w:right="410"/>
              <w:spacing w:after="0"/>
              <w:rPr>
                <w:sz w:val="20"/>
                <w:szCs w:val="20"/>
                <w:color w:val="auto"/>
              </w:rPr>
            </w:pPr>
            <w:r>
              <w:rPr>
                <w:rFonts w:ascii="Arial" w:cs="Arial" w:eastAsia="Arial" w:hAnsi="Arial"/>
                <w:sz w:val="18"/>
                <w:szCs w:val="18"/>
                <w:color w:val="auto"/>
              </w:rPr>
              <w:t>37,169</w:t>
            </w:r>
          </w:p>
        </w:tc>
        <w:tc>
          <w:tcPr>
            <w:tcW w:w="116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24,851</w:t>
            </w: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color w:val="auto"/>
              </w:rPr>
              <w:t>Non-operating (expense) income:</w:t>
            </w:r>
          </w:p>
        </w:tc>
        <w:tc>
          <w:tcPr>
            <w:tcW w:w="18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6620" w:type="dxa"/>
            <w:vAlign w:val="bottom"/>
            <w:shd w:val="clear" w:color="auto" w:fill="CCEDFF"/>
          </w:tcPr>
          <w:p>
            <w:pPr>
              <w:ind w:left="140"/>
              <w:spacing w:after="0"/>
              <w:rPr>
                <w:sz w:val="20"/>
                <w:szCs w:val="20"/>
                <w:color w:val="auto"/>
              </w:rPr>
            </w:pPr>
            <w:r>
              <w:rPr>
                <w:rFonts w:ascii="Arial" w:cs="Arial" w:eastAsia="Arial" w:hAnsi="Arial"/>
                <w:sz w:val="18"/>
                <w:szCs w:val="18"/>
                <w:color w:val="auto"/>
              </w:rPr>
              <w:t>Interest expense</w:t>
            </w:r>
          </w:p>
        </w:tc>
        <w:tc>
          <w:tcPr>
            <w:tcW w:w="1880" w:type="dxa"/>
            <w:vAlign w:val="bottom"/>
            <w:shd w:val="clear" w:color="auto" w:fill="CCEDFF"/>
          </w:tcPr>
          <w:p>
            <w:pPr>
              <w:jc w:val="right"/>
              <w:ind w:right="450"/>
              <w:spacing w:after="0"/>
              <w:rPr>
                <w:sz w:val="20"/>
                <w:szCs w:val="20"/>
                <w:color w:val="auto"/>
              </w:rPr>
            </w:pPr>
            <w:r>
              <w:rPr>
                <w:rFonts w:ascii="Arial" w:cs="Arial" w:eastAsia="Arial" w:hAnsi="Arial"/>
                <w:sz w:val="18"/>
                <w:szCs w:val="18"/>
                <w:color w:val="auto"/>
              </w:rPr>
              <w:t>(41,232)</w:t>
            </w:r>
          </w:p>
        </w:tc>
        <w:tc>
          <w:tcPr>
            <w:tcW w:w="1580" w:type="dxa"/>
            <w:vAlign w:val="bottom"/>
            <w:shd w:val="clear" w:color="auto" w:fill="CCEDFF"/>
          </w:tcPr>
          <w:p>
            <w:pPr>
              <w:jc w:val="right"/>
              <w:ind w:right="350"/>
              <w:spacing w:after="0"/>
              <w:rPr>
                <w:sz w:val="20"/>
                <w:szCs w:val="20"/>
                <w:color w:val="auto"/>
              </w:rPr>
            </w:pPr>
            <w:r>
              <w:rPr>
                <w:rFonts w:ascii="Arial" w:cs="Arial" w:eastAsia="Arial" w:hAnsi="Arial"/>
                <w:sz w:val="18"/>
                <w:szCs w:val="18"/>
                <w:color w:val="auto"/>
              </w:rPr>
              <w:t>(41,471)</w:t>
            </w:r>
          </w:p>
        </w:tc>
        <w:tc>
          <w:tcPr>
            <w:tcW w:w="1160" w:type="dxa"/>
            <w:vAlign w:val="bottom"/>
            <w:shd w:val="clear" w:color="auto" w:fill="CCEDFF"/>
          </w:tcPr>
          <w:p>
            <w:pPr>
              <w:jc w:val="right"/>
              <w:spacing w:after="0"/>
              <w:rPr>
                <w:sz w:val="20"/>
                <w:szCs w:val="20"/>
                <w:color w:val="auto"/>
              </w:rPr>
            </w:pPr>
            <w:r>
              <w:rPr>
                <w:rFonts w:ascii="Arial" w:cs="Arial" w:eastAsia="Arial" w:hAnsi="Arial"/>
                <w:sz w:val="18"/>
                <w:szCs w:val="18"/>
                <w:color w:val="auto"/>
              </w:rPr>
              <w:t>(41,770)</w:t>
            </w:r>
          </w:p>
        </w:tc>
      </w:tr>
      <w:tr>
        <w:trPr>
          <w:trHeight w:val="229"/>
        </w:trPr>
        <w:tc>
          <w:tcPr>
            <w:tcW w:w="6620" w:type="dxa"/>
            <w:vAlign w:val="bottom"/>
          </w:tcPr>
          <w:p>
            <w:pPr>
              <w:ind w:left="140"/>
              <w:spacing w:after="0"/>
              <w:rPr>
                <w:sz w:val="20"/>
                <w:szCs w:val="20"/>
                <w:color w:val="auto"/>
              </w:rPr>
            </w:pPr>
            <w:r>
              <w:rPr>
                <w:rFonts w:ascii="Arial" w:cs="Arial" w:eastAsia="Arial" w:hAnsi="Arial"/>
                <w:sz w:val="18"/>
                <w:szCs w:val="18"/>
                <w:color w:val="auto"/>
              </w:rPr>
              <w:t>Pension withdrawal cost</w:t>
            </w:r>
          </w:p>
        </w:tc>
        <w:tc>
          <w:tcPr>
            <w:tcW w:w="18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50"/>
              <w:spacing w:after="0"/>
              <w:rPr>
                <w:sz w:val="20"/>
                <w:szCs w:val="20"/>
                <w:color w:val="auto"/>
              </w:rPr>
            </w:pPr>
            <w:r>
              <w:rPr>
                <w:rFonts w:ascii="Arial" w:cs="Arial" w:eastAsia="Arial" w:hAnsi="Arial"/>
                <w:sz w:val="18"/>
                <w:szCs w:val="18"/>
                <w:color w:val="auto"/>
              </w:rPr>
              <w:t>(1,200)</w:t>
            </w:r>
          </w:p>
        </w:tc>
        <w:tc>
          <w:tcPr>
            <w:tcW w:w="1160" w:type="dxa"/>
            <w:vAlign w:val="bottom"/>
          </w:tcPr>
          <w:p>
            <w:pPr>
              <w:jc w:val="right"/>
              <w:spacing w:after="0"/>
              <w:rPr>
                <w:sz w:val="20"/>
                <w:szCs w:val="20"/>
                <w:color w:val="auto"/>
              </w:rPr>
            </w:pPr>
            <w:r>
              <w:rPr>
                <w:rFonts w:ascii="Arial" w:cs="Arial" w:eastAsia="Arial" w:hAnsi="Arial"/>
                <w:sz w:val="18"/>
                <w:szCs w:val="18"/>
                <w:color w:val="auto"/>
              </w:rPr>
              <w:t>(2,335)</w:t>
            </w:r>
          </w:p>
        </w:tc>
      </w:tr>
      <w:tr>
        <w:trPr>
          <w:trHeight w:val="229"/>
        </w:trPr>
        <w:tc>
          <w:tcPr>
            <w:tcW w:w="6620" w:type="dxa"/>
            <w:vAlign w:val="bottom"/>
            <w:shd w:val="clear" w:color="auto" w:fill="CCEDFF"/>
          </w:tcPr>
          <w:p>
            <w:pPr>
              <w:ind w:left="140"/>
              <w:spacing w:after="0"/>
              <w:rPr>
                <w:sz w:val="20"/>
                <w:szCs w:val="20"/>
                <w:color w:val="auto"/>
              </w:rPr>
            </w:pPr>
            <w:r>
              <w:rPr>
                <w:rFonts w:ascii="Arial" w:cs="Arial" w:eastAsia="Arial" w:hAnsi="Arial"/>
                <w:sz w:val="18"/>
                <w:szCs w:val="18"/>
                <w:color w:val="auto"/>
              </w:rPr>
              <w:t>Pension and OPEB related benefit and other, net</w:t>
            </w:r>
          </w:p>
        </w:tc>
        <w:tc>
          <w:tcPr>
            <w:tcW w:w="1880" w:type="dxa"/>
            <w:vAlign w:val="bottom"/>
            <w:shd w:val="clear" w:color="auto" w:fill="CCEDFF"/>
          </w:tcPr>
          <w:p>
            <w:pPr>
              <w:jc w:val="right"/>
              <w:ind w:right="450"/>
              <w:spacing w:after="0"/>
              <w:rPr>
                <w:sz w:val="20"/>
                <w:szCs w:val="20"/>
                <w:color w:val="auto"/>
              </w:rPr>
            </w:pPr>
            <w:r>
              <w:rPr>
                <w:rFonts w:ascii="Arial" w:cs="Arial" w:eastAsia="Arial" w:hAnsi="Arial"/>
                <w:sz w:val="18"/>
                <w:szCs w:val="18"/>
                <w:color w:val="auto"/>
              </w:rPr>
              <w:t>1,910</w:t>
            </w:r>
          </w:p>
        </w:tc>
        <w:tc>
          <w:tcPr>
            <w:tcW w:w="158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2,420</w:t>
            </w:r>
          </w:p>
        </w:tc>
        <w:tc>
          <w:tcPr>
            <w:tcW w:w="1160" w:type="dxa"/>
            <w:vAlign w:val="bottom"/>
            <w:shd w:val="clear" w:color="auto" w:fill="CCEDFF"/>
          </w:tcPr>
          <w:p>
            <w:pPr>
              <w:jc w:val="right"/>
              <w:spacing w:after="0"/>
              <w:rPr>
                <w:sz w:val="20"/>
                <w:szCs w:val="20"/>
                <w:color w:val="auto"/>
              </w:rPr>
            </w:pPr>
            <w:r>
              <w:rPr>
                <w:rFonts w:ascii="Arial" w:cs="Arial" w:eastAsia="Arial" w:hAnsi="Arial"/>
                <w:sz w:val="18"/>
                <w:szCs w:val="18"/>
                <w:color w:val="auto"/>
              </w:rPr>
              <w:t>19,022</w:t>
            </w:r>
          </w:p>
        </w:tc>
      </w:tr>
      <w:tr>
        <w:trPr>
          <w:trHeight w:val="230"/>
        </w:trPr>
        <w:tc>
          <w:tcPr>
            <w:tcW w:w="66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Curtailment/Settlement gains</w:t>
            </w:r>
          </w:p>
        </w:tc>
        <w:tc>
          <w:tcPr>
            <w:tcW w:w="18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3,593</w:t>
            </w:r>
          </w:p>
        </w:tc>
        <w:tc>
          <w:tcPr>
            <w:tcW w:w="15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w:t>
            </w:r>
          </w:p>
        </w:tc>
      </w:tr>
      <w:tr>
        <w:trPr>
          <w:trHeight w:val="223"/>
        </w:trPr>
        <w:tc>
          <w:tcPr>
            <w:tcW w:w="662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Total non-operating expense, net</w:t>
            </w:r>
          </w:p>
        </w:tc>
        <w:tc>
          <w:tcPr>
            <w:tcW w:w="1880" w:type="dxa"/>
            <w:vAlign w:val="bottom"/>
            <w:tcBorders>
              <w:bottom w:val="single" w:sz="8" w:color="auto"/>
            </w:tcBorders>
            <w:shd w:val="clear" w:color="auto" w:fill="CCEDFF"/>
          </w:tcPr>
          <w:p>
            <w:pPr>
              <w:jc w:val="right"/>
              <w:ind w:right="450"/>
              <w:spacing w:after="0"/>
              <w:rPr>
                <w:sz w:val="20"/>
                <w:szCs w:val="20"/>
                <w:color w:val="auto"/>
              </w:rPr>
            </w:pPr>
            <w:r>
              <w:rPr>
                <w:rFonts w:ascii="Arial" w:cs="Arial" w:eastAsia="Arial" w:hAnsi="Arial"/>
                <w:sz w:val="18"/>
                <w:szCs w:val="18"/>
                <w:color w:val="auto"/>
              </w:rPr>
              <w:t>(35,729)</w:t>
            </w:r>
          </w:p>
        </w:tc>
        <w:tc>
          <w:tcPr>
            <w:tcW w:w="1580" w:type="dxa"/>
            <w:vAlign w:val="bottom"/>
            <w:tcBorders>
              <w:bottom w:val="single" w:sz="8" w:color="auto"/>
            </w:tcBorders>
            <w:shd w:val="clear" w:color="auto" w:fill="CCEDFF"/>
          </w:tcPr>
          <w:p>
            <w:pPr>
              <w:jc w:val="right"/>
              <w:ind w:right="350"/>
              <w:spacing w:after="0"/>
              <w:rPr>
                <w:sz w:val="20"/>
                <w:szCs w:val="20"/>
                <w:color w:val="auto"/>
              </w:rPr>
            </w:pPr>
            <w:r>
              <w:rPr>
                <w:rFonts w:ascii="Arial" w:cs="Arial" w:eastAsia="Arial" w:hAnsi="Arial"/>
                <w:sz w:val="18"/>
                <w:szCs w:val="18"/>
                <w:color w:val="auto"/>
              </w:rPr>
              <w:t>(40,251)</w:t>
            </w:r>
          </w:p>
        </w:tc>
        <w:tc>
          <w:tcPr>
            <w:tcW w:w="116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(24,056)</w:t>
            </w: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color w:val="auto"/>
              </w:rPr>
              <w:t>(Loss) income before income taxes</w:t>
            </w:r>
          </w:p>
        </w:tc>
        <w:tc>
          <w:tcPr>
            <w:tcW w:w="1880" w:type="dxa"/>
            <w:vAlign w:val="bottom"/>
          </w:tcPr>
          <w:p>
            <w:pPr>
              <w:jc w:val="right"/>
              <w:ind w:right="450"/>
              <w:spacing w:after="0"/>
              <w:rPr>
                <w:sz w:val="20"/>
                <w:szCs w:val="20"/>
                <w:color w:val="auto"/>
              </w:rPr>
            </w:pPr>
            <w:r>
              <w:rPr>
                <w:rFonts w:ascii="Arial" w:cs="Arial" w:eastAsia="Arial" w:hAnsi="Arial"/>
                <w:sz w:val="18"/>
                <w:szCs w:val="18"/>
                <w:color w:val="auto"/>
              </w:rPr>
              <w:t>(31,183)</w:t>
            </w:r>
          </w:p>
        </w:tc>
        <w:tc>
          <w:tcPr>
            <w:tcW w:w="1580" w:type="dxa"/>
            <w:vAlign w:val="bottom"/>
          </w:tcPr>
          <w:p>
            <w:pPr>
              <w:jc w:val="right"/>
              <w:ind w:right="350"/>
              <w:spacing w:after="0"/>
              <w:rPr>
                <w:sz w:val="20"/>
                <w:szCs w:val="20"/>
                <w:color w:val="auto"/>
              </w:rPr>
            </w:pPr>
            <w:r>
              <w:rPr>
                <w:rFonts w:ascii="Arial" w:cs="Arial" w:eastAsia="Arial" w:hAnsi="Arial"/>
                <w:sz w:val="18"/>
                <w:szCs w:val="18"/>
                <w:color w:val="auto"/>
              </w:rPr>
              <w:t>(3,082)</w:t>
            </w:r>
          </w:p>
        </w:tc>
        <w:tc>
          <w:tcPr>
            <w:tcW w:w="1160" w:type="dxa"/>
            <w:vAlign w:val="bottom"/>
          </w:tcPr>
          <w:p>
            <w:pPr>
              <w:jc w:val="right"/>
              <w:spacing w:after="0"/>
              <w:rPr>
                <w:sz w:val="20"/>
                <w:szCs w:val="20"/>
                <w:color w:val="auto"/>
              </w:rPr>
            </w:pPr>
            <w:r>
              <w:rPr>
                <w:rFonts w:ascii="Arial" w:cs="Arial" w:eastAsia="Arial" w:hAnsi="Arial"/>
                <w:sz w:val="18"/>
                <w:szCs w:val="18"/>
                <w:color w:val="auto"/>
              </w:rPr>
              <w:t>795</w:t>
            </w:r>
          </w:p>
        </w:tc>
      </w:tr>
      <w:tr>
        <w:trPr>
          <w:trHeight w:val="229"/>
        </w:trPr>
        <w:tc>
          <w:tcPr>
            <w:tcW w:w="662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Income tax (benefit) expense</w:t>
            </w:r>
          </w:p>
        </w:tc>
        <w:tc>
          <w:tcPr>
            <w:tcW w:w="1880" w:type="dxa"/>
            <w:vAlign w:val="bottom"/>
            <w:tcBorders>
              <w:bottom w:val="single" w:sz="8" w:color="auto"/>
            </w:tcBorders>
            <w:shd w:val="clear" w:color="auto" w:fill="CCEDFF"/>
          </w:tcPr>
          <w:p>
            <w:pPr>
              <w:jc w:val="right"/>
              <w:ind w:right="450"/>
              <w:spacing w:after="0"/>
              <w:rPr>
                <w:sz w:val="20"/>
                <w:szCs w:val="20"/>
                <w:color w:val="auto"/>
              </w:rPr>
            </w:pPr>
            <w:r>
              <w:rPr>
                <w:rFonts w:ascii="Arial" w:cs="Arial" w:eastAsia="Arial" w:hAnsi="Arial"/>
                <w:sz w:val="18"/>
                <w:szCs w:val="18"/>
                <w:color w:val="auto"/>
              </w:rPr>
              <w:t>(7,610)</w:t>
            </w:r>
          </w:p>
        </w:tc>
        <w:tc>
          <w:tcPr>
            <w:tcW w:w="1580" w:type="dxa"/>
            <w:vAlign w:val="bottom"/>
            <w:tcBorders>
              <w:bottom w:val="single" w:sz="8" w:color="auto"/>
            </w:tcBorders>
            <w:shd w:val="clear" w:color="auto" w:fill="CCEDFF"/>
          </w:tcPr>
          <w:p>
            <w:pPr>
              <w:jc w:val="right"/>
              <w:ind w:right="350"/>
              <w:spacing w:after="0"/>
              <w:rPr>
                <w:sz w:val="20"/>
                <w:szCs w:val="20"/>
                <w:color w:val="auto"/>
              </w:rPr>
            </w:pPr>
            <w:r>
              <w:rPr>
                <w:rFonts w:ascii="Arial" w:cs="Arial" w:eastAsia="Arial" w:hAnsi="Arial"/>
                <w:sz w:val="18"/>
                <w:szCs w:val="18"/>
                <w:color w:val="auto"/>
              </w:rPr>
              <w:t>(349)</w:t>
            </w:r>
          </w:p>
        </w:tc>
        <w:tc>
          <w:tcPr>
            <w:tcW w:w="116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698</w:t>
            </w: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1880" w:type="dxa"/>
            <w:vAlign w:val="bottom"/>
          </w:tcPr>
          <w:p>
            <w:pPr>
              <w:jc w:val="right"/>
              <w:ind w:right="450"/>
              <w:spacing w:after="0"/>
              <w:rPr>
                <w:sz w:val="20"/>
                <w:szCs w:val="20"/>
                <w:color w:val="auto"/>
              </w:rPr>
            </w:pPr>
            <w:r>
              <w:rPr>
                <w:rFonts w:ascii="Arial" w:cs="Arial" w:eastAsia="Arial" w:hAnsi="Arial"/>
                <w:sz w:val="18"/>
                <w:szCs w:val="18"/>
                <w:color w:val="auto"/>
              </w:rPr>
              <w:t>(23,573)</w:t>
            </w:r>
          </w:p>
        </w:tc>
        <w:tc>
          <w:tcPr>
            <w:tcW w:w="1580" w:type="dxa"/>
            <w:vAlign w:val="bottom"/>
          </w:tcPr>
          <w:p>
            <w:pPr>
              <w:jc w:val="right"/>
              <w:ind w:right="350"/>
              <w:spacing w:after="0"/>
              <w:rPr>
                <w:sz w:val="20"/>
                <w:szCs w:val="20"/>
                <w:color w:val="auto"/>
              </w:rPr>
            </w:pPr>
            <w:r>
              <w:rPr>
                <w:rFonts w:ascii="Arial" w:cs="Arial" w:eastAsia="Arial" w:hAnsi="Arial"/>
                <w:sz w:val="18"/>
                <w:szCs w:val="18"/>
                <w:color w:val="auto"/>
              </w:rPr>
              <w:t>(2,733)</w:t>
            </w:r>
          </w:p>
        </w:tc>
        <w:tc>
          <w:tcPr>
            <w:tcW w:w="11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29"/>
        </w:trPr>
        <w:tc>
          <w:tcPr>
            <w:tcW w:w="662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880" w:type="dxa"/>
            <w:vAlign w:val="bottom"/>
            <w:tcBorders>
              <w:bottom w:val="single" w:sz="8" w:color="auto"/>
            </w:tcBorders>
            <w:shd w:val="clear" w:color="auto" w:fill="CCEDFF"/>
          </w:tcPr>
          <w:p>
            <w:pPr>
              <w:jc w:val="right"/>
              <w:ind w:right="450"/>
              <w:spacing w:after="0"/>
              <w:rPr>
                <w:sz w:val="20"/>
                <w:szCs w:val="20"/>
                <w:color w:val="auto"/>
              </w:rPr>
            </w:pPr>
            <w:r>
              <w:rPr>
                <w:rFonts w:ascii="Arial" w:cs="Arial" w:eastAsia="Arial" w:hAnsi="Arial"/>
                <w:sz w:val="18"/>
                <w:szCs w:val="18"/>
                <w:color w:val="auto"/>
              </w:rPr>
              <w:t>(2,272)</w:t>
            </w:r>
          </w:p>
        </w:tc>
        <w:tc>
          <w:tcPr>
            <w:tcW w:w="1580" w:type="dxa"/>
            <w:vAlign w:val="bottom"/>
            <w:tcBorders>
              <w:bottom w:val="single" w:sz="8" w:color="auto"/>
            </w:tcBorders>
            <w:shd w:val="clear" w:color="auto" w:fill="CCEDFF"/>
          </w:tcPr>
          <w:p>
            <w:pPr>
              <w:jc w:val="right"/>
              <w:ind w:right="350"/>
              <w:spacing w:after="0"/>
              <w:rPr>
                <w:sz w:val="20"/>
                <w:szCs w:val="20"/>
                <w:color w:val="auto"/>
              </w:rPr>
            </w:pPr>
            <w:r>
              <w:rPr>
                <w:rFonts w:ascii="Arial" w:cs="Arial" w:eastAsia="Arial" w:hAnsi="Arial"/>
                <w:sz w:val="18"/>
                <w:szCs w:val="18"/>
                <w:color w:val="auto"/>
              </w:rPr>
              <w:t>(2,534)</w:t>
            </w:r>
          </w:p>
        </w:tc>
        <w:tc>
          <w:tcPr>
            <w:tcW w:w="116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(2,114)</w:t>
            </w: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color w:val="auto"/>
              </w:rPr>
              <w:t>Loss attributable to Lee Enterprises, Incorporated</w:t>
            </w:r>
          </w:p>
        </w:tc>
        <w:tc>
          <w:tcPr>
            <w:tcW w:w="1880" w:type="dxa"/>
            <w:vAlign w:val="bottom"/>
          </w:tcPr>
          <w:p>
            <w:pPr>
              <w:jc w:val="right"/>
              <w:ind w:right="450"/>
              <w:spacing w:after="0"/>
              <w:rPr>
                <w:sz w:val="20"/>
                <w:szCs w:val="20"/>
                <w:color w:val="auto"/>
              </w:rPr>
            </w:pPr>
            <w:r>
              <w:rPr>
                <w:rFonts w:ascii="Arial" w:cs="Arial" w:eastAsia="Arial" w:hAnsi="Arial"/>
                <w:sz w:val="18"/>
                <w:szCs w:val="18"/>
                <w:color w:val="auto"/>
              </w:rPr>
              <w:t>(25,845)</w:t>
            </w:r>
          </w:p>
        </w:tc>
        <w:tc>
          <w:tcPr>
            <w:tcW w:w="1580" w:type="dxa"/>
            <w:vAlign w:val="bottom"/>
          </w:tcPr>
          <w:p>
            <w:pPr>
              <w:jc w:val="right"/>
              <w:ind w:right="350"/>
              <w:spacing w:after="0"/>
              <w:rPr>
                <w:sz w:val="20"/>
                <w:szCs w:val="20"/>
                <w:color w:val="auto"/>
              </w:rPr>
            </w:pPr>
            <w:r>
              <w:rPr>
                <w:rFonts w:ascii="Arial" w:cs="Arial" w:eastAsia="Arial" w:hAnsi="Arial"/>
                <w:sz w:val="18"/>
                <w:szCs w:val="18"/>
                <w:color w:val="auto"/>
              </w:rPr>
              <w:t>(5,267)</w:t>
            </w:r>
          </w:p>
        </w:tc>
        <w:tc>
          <w:tcPr>
            <w:tcW w:w="1160" w:type="dxa"/>
            <w:vAlign w:val="bottom"/>
          </w:tcPr>
          <w:p>
            <w:pPr>
              <w:jc w:val="right"/>
              <w:spacing w:after="0"/>
              <w:rPr>
                <w:sz w:val="20"/>
                <w:szCs w:val="20"/>
                <w:color w:val="auto"/>
              </w:rPr>
            </w:pPr>
            <w:r>
              <w:rPr>
                <w:rFonts w:ascii="Arial" w:cs="Arial" w:eastAsia="Arial" w:hAnsi="Arial"/>
                <w:sz w:val="18"/>
                <w:szCs w:val="18"/>
                <w:color w:val="auto"/>
              </w:rPr>
              <w:t>(2,017)</w:t>
            </w:r>
          </w:p>
        </w:tc>
      </w:tr>
      <w:tr>
        <w:trPr>
          <w:trHeight w:val="229"/>
        </w:trPr>
        <w:tc>
          <w:tcPr>
            <w:tcW w:w="662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Other comprehensive (loss) income, net of income taxes</w:t>
            </w:r>
          </w:p>
        </w:tc>
        <w:tc>
          <w:tcPr>
            <w:tcW w:w="1880" w:type="dxa"/>
            <w:vAlign w:val="bottom"/>
            <w:tcBorders>
              <w:bottom w:val="single" w:sz="8" w:color="auto"/>
            </w:tcBorders>
            <w:shd w:val="clear" w:color="auto" w:fill="CCEDFF"/>
          </w:tcPr>
          <w:p>
            <w:pPr>
              <w:jc w:val="right"/>
              <w:ind w:right="450"/>
              <w:spacing w:after="0"/>
              <w:rPr>
                <w:sz w:val="20"/>
                <w:szCs w:val="20"/>
                <w:color w:val="auto"/>
              </w:rPr>
            </w:pPr>
            <w:r>
              <w:rPr>
                <w:rFonts w:ascii="Arial" w:cs="Arial" w:eastAsia="Arial" w:hAnsi="Arial"/>
                <w:sz w:val="18"/>
                <w:szCs w:val="18"/>
                <w:color w:val="auto"/>
              </w:rPr>
              <w:t>(6,923)</w:t>
            </w:r>
          </w:p>
        </w:tc>
        <w:tc>
          <w:tcPr>
            <w:tcW w:w="1580" w:type="dxa"/>
            <w:vAlign w:val="bottom"/>
            <w:tcBorders>
              <w:bottom w:val="single" w:sz="8" w:color="auto"/>
            </w:tcBorders>
            <w:shd w:val="clear" w:color="auto" w:fill="CCEDFF"/>
          </w:tcPr>
          <w:p>
            <w:pPr>
              <w:jc w:val="right"/>
              <w:ind w:right="410"/>
              <w:spacing w:after="0"/>
              <w:rPr>
                <w:sz w:val="20"/>
                <w:szCs w:val="20"/>
                <w:color w:val="auto"/>
              </w:rPr>
            </w:pPr>
            <w:r>
              <w:rPr>
                <w:rFonts w:ascii="Arial" w:cs="Arial" w:eastAsia="Arial" w:hAnsi="Arial"/>
                <w:sz w:val="18"/>
                <w:szCs w:val="18"/>
                <w:color w:val="auto"/>
              </w:rPr>
              <w:t>10,190</w:t>
            </w:r>
          </w:p>
        </w:tc>
        <w:tc>
          <w:tcPr>
            <w:tcW w:w="116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(25,534)</w:t>
            </w:r>
          </w:p>
        </w:tc>
      </w:tr>
      <w:tr>
        <w:trPr>
          <w:trHeight w:val="223"/>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Comprehensive (loss) income attributable to Lee Enterprises, Incorporated</w:t>
            </w:r>
          </w:p>
        </w:tc>
        <w:tc>
          <w:tcPr>
            <w:tcW w:w="18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(32,768)</w:t>
            </w:r>
          </w:p>
        </w:tc>
        <w:tc>
          <w:tcPr>
            <w:tcW w:w="15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4,923</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(27,551)</w:t>
            </w:r>
          </w:p>
        </w:tc>
      </w:tr>
      <w:tr>
        <w:trPr>
          <w:trHeight w:val="20"/>
        </w:trPr>
        <w:tc>
          <w:tcPr>
            <w:tcW w:w="66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7"/>
        </w:trPr>
        <w:tc>
          <w:tcPr>
            <w:tcW w:w="6620" w:type="dxa"/>
            <w:vAlign w:val="bottom"/>
            <w:shd w:val="clear" w:color="auto" w:fill="CCEDFF"/>
          </w:tcPr>
          <w:p>
            <w:pPr>
              <w:spacing w:after="0"/>
              <w:rPr>
                <w:sz w:val="20"/>
                <w:szCs w:val="20"/>
                <w:color w:val="auto"/>
              </w:rPr>
            </w:pPr>
          </w:p>
        </w:tc>
        <w:tc>
          <w:tcPr>
            <w:tcW w:w="1880" w:type="dxa"/>
            <w:vAlign w:val="bottom"/>
            <w:shd w:val="clear" w:color="auto" w:fill="CCEDFF"/>
          </w:tcPr>
          <w:p>
            <w:pPr>
              <w:spacing w:after="0"/>
              <w:rPr>
                <w:sz w:val="20"/>
                <w:szCs w:val="20"/>
                <w:color w:val="auto"/>
              </w:rPr>
            </w:pPr>
          </w:p>
        </w:tc>
        <w:tc>
          <w:tcPr>
            <w:tcW w:w="1580" w:type="dxa"/>
            <w:vAlign w:val="bottom"/>
            <w:shd w:val="clear" w:color="auto" w:fill="CCEDFF"/>
          </w:tcPr>
          <w:p>
            <w:pPr>
              <w:spacing w:after="0"/>
              <w:rPr>
                <w:sz w:val="20"/>
                <w:szCs w:val="20"/>
                <w:color w:val="auto"/>
              </w:rPr>
            </w:pPr>
          </w:p>
        </w:tc>
        <w:tc>
          <w:tcPr>
            <w:tcW w:w="1160" w:type="dxa"/>
            <w:vAlign w:val="bottom"/>
            <w:shd w:val="clear" w:color="auto" w:fill="CCEDFF"/>
          </w:tcPr>
          <w:p>
            <w:pPr>
              <w:spacing w:after="0"/>
              <w:rPr>
                <w:sz w:val="20"/>
                <w:szCs w:val="20"/>
                <w:color w:val="auto"/>
              </w:rPr>
            </w:pP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Loss per common share:</w:t>
            </w:r>
          </w:p>
        </w:tc>
        <w:tc>
          <w:tcPr>
            <w:tcW w:w="18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6620" w:type="dxa"/>
            <w:vAlign w:val="bottom"/>
            <w:shd w:val="clear" w:color="auto" w:fill="CCEDFF"/>
          </w:tcPr>
          <w:p>
            <w:pPr>
              <w:ind w:left="140"/>
              <w:spacing w:after="0"/>
              <w:rPr>
                <w:sz w:val="20"/>
                <w:szCs w:val="20"/>
                <w:color w:val="auto"/>
              </w:rPr>
            </w:pPr>
            <w:r>
              <w:rPr>
                <w:rFonts w:ascii="Arial" w:cs="Arial" w:eastAsia="Arial" w:hAnsi="Arial"/>
                <w:sz w:val="18"/>
                <w:szCs w:val="18"/>
                <w:color w:val="auto"/>
              </w:rPr>
              <w:t>Basic:</w:t>
            </w:r>
          </w:p>
        </w:tc>
        <w:tc>
          <w:tcPr>
            <w:tcW w:w="1880" w:type="dxa"/>
            <w:vAlign w:val="bottom"/>
            <w:shd w:val="clear" w:color="auto" w:fill="CCEDFF"/>
          </w:tcPr>
          <w:p>
            <w:pPr>
              <w:jc w:val="right"/>
              <w:ind w:right="450"/>
              <w:spacing w:after="0"/>
              <w:rPr>
                <w:sz w:val="20"/>
                <w:szCs w:val="20"/>
                <w:color w:val="auto"/>
              </w:rPr>
            </w:pPr>
            <w:r>
              <w:rPr>
                <w:rFonts w:ascii="Arial" w:cs="Arial" w:eastAsia="Arial" w:hAnsi="Arial"/>
                <w:sz w:val="18"/>
                <w:szCs w:val="18"/>
                <w:color w:val="auto"/>
              </w:rPr>
              <w:t>(4.35)</w:t>
            </w:r>
          </w:p>
        </w:tc>
        <w:tc>
          <w:tcPr>
            <w:tcW w:w="1580" w:type="dxa"/>
            <w:vAlign w:val="bottom"/>
            <w:shd w:val="clear" w:color="auto" w:fill="CCEDFF"/>
          </w:tcPr>
          <w:p>
            <w:pPr>
              <w:jc w:val="right"/>
              <w:ind w:right="350"/>
              <w:spacing w:after="0"/>
              <w:rPr>
                <w:sz w:val="20"/>
                <w:szCs w:val="20"/>
                <w:color w:val="auto"/>
              </w:rPr>
            </w:pPr>
            <w:r>
              <w:rPr>
                <w:rFonts w:ascii="Arial" w:cs="Arial" w:eastAsia="Arial" w:hAnsi="Arial"/>
                <w:sz w:val="18"/>
                <w:szCs w:val="18"/>
                <w:color w:val="auto"/>
              </w:rPr>
              <w:t>(0.90)</w:t>
            </w:r>
          </w:p>
        </w:tc>
        <w:tc>
          <w:tcPr>
            <w:tcW w:w="1160" w:type="dxa"/>
            <w:vAlign w:val="bottom"/>
            <w:shd w:val="clear" w:color="auto" w:fill="CCEDFF"/>
          </w:tcPr>
          <w:p>
            <w:pPr>
              <w:jc w:val="right"/>
              <w:spacing w:after="0"/>
              <w:rPr>
                <w:sz w:val="20"/>
                <w:szCs w:val="20"/>
                <w:color w:val="auto"/>
              </w:rPr>
            </w:pPr>
            <w:r>
              <w:rPr>
                <w:rFonts w:ascii="Arial" w:cs="Arial" w:eastAsia="Arial" w:hAnsi="Arial"/>
                <w:sz w:val="18"/>
                <w:szCs w:val="18"/>
                <w:color w:val="auto"/>
              </w:rPr>
              <w:t>(0.35)</w:t>
            </w:r>
          </w:p>
        </w:tc>
      </w:tr>
      <w:tr>
        <w:trPr>
          <w:trHeight w:val="229"/>
        </w:trPr>
        <w:tc>
          <w:tcPr>
            <w:tcW w:w="66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Diluted:</w:t>
            </w:r>
          </w:p>
        </w:tc>
        <w:tc>
          <w:tcPr>
            <w:tcW w:w="18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(4.35)</w:t>
            </w:r>
          </w:p>
        </w:tc>
        <w:tc>
          <w:tcPr>
            <w:tcW w:w="15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(0.90)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2340" w:type="dxa"/>
            <w:vAlign w:val="bottom"/>
            <w:tcBorders>
              <w:top w:val="single" w:sz="8" w:color="auto"/>
            </w:tcBorders>
          </w:tcPr>
          <w:p>
            <w:pPr>
              <w:jc w:val="right"/>
              <w:ind w:right="250"/>
              <w:spacing w:after="0" w:line="189" w:lineRule="exact"/>
              <w:rPr>
                <w:sz w:val="20"/>
                <w:szCs w:val="20"/>
                <w:color w:val="auto"/>
              </w:rPr>
            </w:pPr>
            <w:r>
              <w:rPr>
                <w:rFonts w:ascii="Arial" w:cs="Arial" w:eastAsia="Arial" w:hAnsi="Arial"/>
                <w:sz w:val="18"/>
                <w:szCs w:val="18"/>
                <w:color w:val="auto"/>
              </w:rPr>
              <w:t>September 29</w:t>
            </w:r>
          </w:p>
        </w:tc>
        <w:tc>
          <w:tcPr>
            <w:tcW w:w="14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September 24</w:t>
            </w:r>
          </w:p>
        </w:tc>
      </w:tr>
      <w:tr>
        <w:trPr>
          <w:trHeight w:val="242"/>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1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2024</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485"/>
        </w:trPr>
        <w:tc>
          <w:tcPr>
            <w:tcW w:w="4840" w:type="dxa"/>
            <w:vAlign w:val="bottom"/>
          </w:tcPr>
          <w:p>
            <w:pPr>
              <w:ind w:left="20"/>
              <w:spacing w:after="0"/>
              <w:rPr>
                <w:sz w:val="20"/>
                <w:szCs w:val="20"/>
                <w:color w:val="auto"/>
              </w:rPr>
            </w:pPr>
            <w:r>
              <w:rPr>
                <w:rFonts w:ascii="Arial" w:cs="Arial" w:eastAsia="Arial" w:hAnsi="Arial"/>
                <w:sz w:val="18"/>
                <w:szCs w:val="18"/>
                <w:color w:val="auto"/>
              </w:rPr>
              <w:t>ASSETS</w:t>
            </w:r>
          </w:p>
        </w:tc>
        <w:tc>
          <w:tcPr>
            <w:tcW w:w="1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95"/>
        </w:trPr>
        <w:tc>
          <w:tcPr>
            <w:tcW w:w="48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29"/>
        </w:trPr>
        <w:tc>
          <w:tcPr>
            <w:tcW w:w="4840" w:type="dxa"/>
            <w:vAlign w:val="bottom"/>
            <w:shd w:val="clear" w:color="auto" w:fill="CCEDFF"/>
          </w:tcPr>
          <w:p>
            <w:pPr>
              <w:ind w:left="140"/>
              <w:spacing w:after="0"/>
              <w:rPr>
                <w:sz w:val="20"/>
                <w:szCs w:val="20"/>
                <w:color w:val="auto"/>
              </w:rPr>
            </w:pPr>
            <w:r>
              <w:rPr>
                <w:rFonts w:ascii="Arial" w:cs="Arial" w:eastAsia="Arial" w:hAnsi="Arial"/>
                <w:sz w:val="18"/>
                <w:szCs w:val="18"/>
                <w:color w:val="auto"/>
              </w:rPr>
              <w:t>Cash and cash equivalents</w:t>
            </w:r>
          </w:p>
        </w:tc>
        <w:tc>
          <w:tcPr>
            <w:tcW w:w="1120" w:type="dxa"/>
            <w:vAlign w:val="bottom"/>
            <w:shd w:val="clear" w:color="auto" w:fill="CCEDFF"/>
          </w:tcPr>
          <w:p>
            <w:pPr>
              <w:spacing w:after="0"/>
              <w:rPr>
                <w:sz w:val="19"/>
                <w:szCs w:val="19"/>
                <w:color w:val="auto"/>
              </w:rPr>
            </w:pPr>
          </w:p>
        </w:tc>
        <w:tc>
          <w:tcPr>
            <w:tcW w:w="1460" w:type="dxa"/>
            <w:vAlign w:val="bottom"/>
            <w:shd w:val="clear" w:color="auto" w:fill="CCEDFF"/>
          </w:tcPr>
          <w:p>
            <w:pPr>
              <w:spacing w:after="0"/>
              <w:rPr>
                <w:sz w:val="19"/>
                <w:szCs w:val="19"/>
                <w:color w:val="auto"/>
              </w:rPr>
            </w:pPr>
          </w:p>
        </w:tc>
        <w:tc>
          <w:tcPr>
            <w:tcW w:w="234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9,598</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14,548</w:t>
            </w:r>
          </w:p>
        </w:tc>
      </w:tr>
      <w:tr>
        <w:trPr>
          <w:trHeight w:val="230"/>
        </w:trPr>
        <w:tc>
          <w:tcPr>
            <w:tcW w:w="4840" w:type="dxa"/>
            <w:vAlign w:val="bottom"/>
          </w:tcPr>
          <w:p>
            <w:pPr>
              <w:ind w:left="140"/>
              <w:spacing w:after="0"/>
              <w:rPr>
                <w:sz w:val="20"/>
                <w:szCs w:val="20"/>
                <w:color w:val="auto"/>
              </w:rPr>
            </w:pPr>
            <w:r>
              <w:rPr>
                <w:rFonts w:ascii="Arial" w:cs="Arial" w:eastAsia="Arial" w:hAnsi="Arial"/>
                <w:sz w:val="18"/>
                <w:szCs w:val="18"/>
                <w:color w:val="auto"/>
                <w:w w:val="99"/>
              </w:rPr>
              <w:t>Accounts receivable, less allowance for credit losses: 2024</w:t>
            </w:r>
          </w:p>
        </w:tc>
        <w:tc>
          <w:tcPr>
            <w:tcW w:w="1120" w:type="dxa"/>
            <w:vAlign w:val="bottom"/>
          </w:tcPr>
          <w:p>
            <w:pPr>
              <w:jc w:val="right"/>
              <w:spacing w:after="0"/>
              <w:rPr>
                <w:sz w:val="20"/>
                <w:szCs w:val="20"/>
                <w:color w:val="auto"/>
              </w:rPr>
            </w:pPr>
            <w:r>
              <w:rPr>
                <w:rFonts w:ascii="Arial" w:cs="Arial" w:eastAsia="Arial" w:hAnsi="Arial"/>
                <w:sz w:val="18"/>
                <w:szCs w:val="18"/>
                <w:color w:val="auto"/>
              </w:rPr>
              <w:t>$6,514; 2023</w:t>
            </w:r>
          </w:p>
        </w:tc>
        <w:tc>
          <w:tcPr>
            <w:tcW w:w="1460" w:type="dxa"/>
            <w:vAlign w:val="bottom"/>
          </w:tcPr>
          <w:p>
            <w:pPr>
              <w:jc w:val="right"/>
              <w:ind w:right="810"/>
              <w:spacing w:after="0"/>
              <w:rPr>
                <w:sz w:val="20"/>
                <w:szCs w:val="20"/>
                <w:color w:val="auto"/>
              </w:rPr>
            </w:pPr>
            <w:r>
              <w:rPr>
                <w:rFonts w:ascii="Arial" w:cs="Arial" w:eastAsia="Arial" w:hAnsi="Arial"/>
                <w:sz w:val="18"/>
                <w:szCs w:val="18"/>
                <w:color w:val="auto"/>
                <w:w w:val="98"/>
              </w:rPr>
              <w:t>$5,260</w:t>
            </w:r>
          </w:p>
        </w:tc>
        <w:tc>
          <w:tcPr>
            <w:tcW w:w="2340" w:type="dxa"/>
            <w:vAlign w:val="bottom"/>
          </w:tcPr>
          <w:p>
            <w:pPr>
              <w:jc w:val="right"/>
              <w:ind w:right="310"/>
              <w:spacing w:after="0"/>
              <w:rPr>
                <w:sz w:val="20"/>
                <w:szCs w:val="20"/>
                <w:color w:val="auto"/>
              </w:rPr>
            </w:pPr>
            <w:r>
              <w:rPr>
                <w:rFonts w:ascii="Arial" w:cs="Arial" w:eastAsia="Arial" w:hAnsi="Arial"/>
                <w:sz w:val="18"/>
                <w:szCs w:val="18"/>
                <w:color w:val="auto"/>
              </w:rPr>
              <w:t>60,648</w:t>
            </w:r>
          </w:p>
        </w:tc>
        <w:tc>
          <w:tcPr>
            <w:tcW w:w="1480" w:type="dxa"/>
            <w:vAlign w:val="bottom"/>
          </w:tcPr>
          <w:p>
            <w:pPr>
              <w:jc w:val="right"/>
              <w:spacing w:after="0"/>
              <w:rPr>
                <w:sz w:val="20"/>
                <w:szCs w:val="20"/>
                <w:color w:val="auto"/>
              </w:rPr>
            </w:pPr>
            <w:r>
              <w:rPr>
                <w:rFonts w:ascii="Arial" w:cs="Arial" w:eastAsia="Arial" w:hAnsi="Arial"/>
                <w:sz w:val="18"/>
                <w:szCs w:val="18"/>
                <w:color w:val="auto"/>
              </w:rPr>
              <w:t>69,104</w:t>
            </w:r>
          </w:p>
        </w:tc>
      </w:tr>
      <w:tr>
        <w:trPr>
          <w:trHeight w:val="229"/>
        </w:trPr>
        <w:tc>
          <w:tcPr>
            <w:tcW w:w="4840" w:type="dxa"/>
            <w:vAlign w:val="bottom"/>
            <w:shd w:val="clear" w:color="auto" w:fill="CCEDFF"/>
          </w:tcPr>
          <w:p>
            <w:pPr>
              <w:ind w:left="140"/>
              <w:spacing w:after="0"/>
              <w:rPr>
                <w:sz w:val="20"/>
                <w:szCs w:val="20"/>
                <w:color w:val="auto"/>
              </w:rPr>
            </w:pPr>
            <w:r>
              <w:rPr>
                <w:rFonts w:ascii="Arial" w:cs="Arial" w:eastAsia="Arial" w:hAnsi="Arial"/>
                <w:sz w:val="18"/>
                <w:szCs w:val="18"/>
                <w:color w:val="auto"/>
              </w:rPr>
              <w:t>Inventories</w:t>
            </w:r>
          </w:p>
        </w:tc>
        <w:tc>
          <w:tcPr>
            <w:tcW w:w="1120" w:type="dxa"/>
            <w:vAlign w:val="bottom"/>
            <w:shd w:val="clear" w:color="auto" w:fill="CCEDFF"/>
          </w:tcPr>
          <w:p>
            <w:pPr>
              <w:spacing w:after="0"/>
              <w:rPr>
                <w:sz w:val="19"/>
                <w:szCs w:val="19"/>
                <w:color w:val="auto"/>
              </w:rPr>
            </w:pPr>
          </w:p>
        </w:tc>
        <w:tc>
          <w:tcPr>
            <w:tcW w:w="1460" w:type="dxa"/>
            <w:vAlign w:val="bottom"/>
            <w:shd w:val="clear" w:color="auto" w:fill="CCEDFF"/>
          </w:tcPr>
          <w:p>
            <w:pPr>
              <w:spacing w:after="0"/>
              <w:rPr>
                <w:sz w:val="19"/>
                <w:szCs w:val="19"/>
                <w:color w:val="auto"/>
              </w:rPr>
            </w:pPr>
          </w:p>
        </w:tc>
        <w:tc>
          <w:tcPr>
            <w:tcW w:w="234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5,643</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7,504</w:t>
            </w:r>
          </w:p>
        </w:tc>
      </w:tr>
      <w:tr>
        <w:trPr>
          <w:trHeight w:val="230"/>
        </w:trPr>
        <w:tc>
          <w:tcPr>
            <w:tcW w:w="48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Prepaids and other</w:t>
            </w:r>
          </w:p>
        </w:tc>
        <w:tc>
          <w:tcPr>
            <w:tcW w:w="1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21,884</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15,373</w:t>
            </w:r>
          </w:p>
        </w:tc>
      </w:tr>
      <w:tr>
        <w:trPr>
          <w:trHeight w:val="223"/>
        </w:trPr>
        <w:tc>
          <w:tcPr>
            <w:tcW w:w="484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Total current assets</w:t>
            </w:r>
          </w:p>
        </w:tc>
        <w:tc>
          <w:tcPr>
            <w:tcW w:w="1120" w:type="dxa"/>
            <w:vAlign w:val="bottom"/>
            <w:tcBorders>
              <w:bottom w:val="single" w:sz="8" w:color="auto"/>
            </w:tcBorders>
            <w:shd w:val="clear" w:color="auto" w:fill="CCEDFF"/>
          </w:tcPr>
          <w:p>
            <w:pPr>
              <w:spacing w:after="0"/>
              <w:rPr>
                <w:sz w:val="19"/>
                <w:szCs w:val="19"/>
                <w:color w:val="auto"/>
              </w:rPr>
            </w:pPr>
          </w:p>
        </w:tc>
        <w:tc>
          <w:tcPr>
            <w:tcW w:w="1460" w:type="dxa"/>
            <w:vAlign w:val="bottom"/>
            <w:tcBorders>
              <w:bottom w:val="single" w:sz="8" w:color="auto"/>
            </w:tcBorders>
            <w:shd w:val="clear" w:color="auto" w:fill="CCEDFF"/>
          </w:tcPr>
          <w:p>
            <w:pPr>
              <w:spacing w:after="0"/>
              <w:rPr>
                <w:sz w:val="19"/>
                <w:szCs w:val="19"/>
                <w:color w:val="auto"/>
              </w:rPr>
            </w:pPr>
          </w:p>
        </w:tc>
        <w:tc>
          <w:tcPr>
            <w:tcW w:w="2340" w:type="dxa"/>
            <w:vAlign w:val="bottom"/>
            <w:tcBorders>
              <w:bottom w:val="single" w:sz="8" w:color="auto"/>
            </w:tcBorders>
            <w:shd w:val="clear" w:color="auto" w:fill="CCEDFF"/>
          </w:tcPr>
          <w:p>
            <w:pPr>
              <w:jc w:val="right"/>
              <w:ind w:right="310"/>
              <w:spacing w:after="0"/>
              <w:rPr>
                <w:sz w:val="20"/>
                <w:szCs w:val="20"/>
                <w:color w:val="auto"/>
              </w:rPr>
            </w:pPr>
            <w:r>
              <w:rPr>
                <w:rFonts w:ascii="Arial" w:cs="Arial" w:eastAsia="Arial" w:hAnsi="Arial"/>
                <w:sz w:val="18"/>
                <w:szCs w:val="18"/>
                <w:color w:val="auto"/>
              </w:rPr>
              <w:t>97,773</w:t>
            </w:r>
          </w:p>
        </w:tc>
        <w:tc>
          <w:tcPr>
            <w:tcW w:w="14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106,529</w:t>
            </w:r>
          </w:p>
        </w:tc>
      </w:tr>
      <w:tr>
        <w:trPr>
          <w:trHeight w:val="223"/>
        </w:trPr>
        <w:tc>
          <w:tcPr>
            <w:tcW w:w="484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1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4840" w:type="dxa"/>
            <w:vAlign w:val="bottom"/>
            <w:shd w:val="clear" w:color="auto" w:fill="CCEDFF"/>
          </w:tcPr>
          <w:p>
            <w:pPr>
              <w:ind w:left="140"/>
              <w:spacing w:after="0"/>
              <w:rPr>
                <w:sz w:val="20"/>
                <w:szCs w:val="20"/>
                <w:color w:val="auto"/>
              </w:rPr>
            </w:pPr>
            <w:r>
              <w:rPr>
                <w:rFonts w:ascii="Arial" w:cs="Arial" w:eastAsia="Arial" w:hAnsi="Arial"/>
                <w:sz w:val="18"/>
                <w:szCs w:val="18"/>
                <w:color w:val="auto"/>
              </w:rPr>
              <w:t>Associated companies</w:t>
            </w:r>
          </w:p>
        </w:tc>
        <w:tc>
          <w:tcPr>
            <w:tcW w:w="1120" w:type="dxa"/>
            <w:vAlign w:val="bottom"/>
            <w:shd w:val="clear" w:color="auto" w:fill="CCEDFF"/>
          </w:tcPr>
          <w:p>
            <w:pPr>
              <w:spacing w:after="0"/>
              <w:rPr>
                <w:sz w:val="19"/>
                <w:szCs w:val="19"/>
                <w:color w:val="auto"/>
              </w:rPr>
            </w:pPr>
          </w:p>
        </w:tc>
        <w:tc>
          <w:tcPr>
            <w:tcW w:w="1460" w:type="dxa"/>
            <w:vAlign w:val="bottom"/>
            <w:shd w:val="clear" w:color="auto" w:fill="CCEDFF"/>
          </w:tcPr>
          <w:p>
            <w:pPr>
              <w:spacing w:after="0"/>
              <w:rPr>
                <w:sz w:val="19"/>
                <w:szCs w:val="19"/>
                <w:color w:val="auto"/>
              </w:rPr>
            </w:pPr>
          </w:p>
        </w:tc>
        <w:tc>
          <w:tcPr>
            <w:tcW w:w="234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27,941</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27,819</w:t>
            </w:r>
          </w:p>
        </w:tc>
      </w:tr>
      <w:tr>
        <w:trPr>
          <w:trHeight w:val="230"/>
        </w:trPr>
        <w:tc>
          <w:tcPr>
            <w:tcW w:w="48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6,042</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5,572</w:t>
            </w:r>
          </w:p>
        </w:tc>
      </w:tr>
      <w:tr>
        <w:trPr>
          <w:trHeight w:val="223"/>
        </w:trPr>
        <w:tc>
          <w:tcPr>
            <w:tcW w:w="484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Total investments</w:t>
            </w:r>
          </w:p>
        </w:tc>
        <w:tc>
          <w:tcPr>
            <w:tcW w:w="1120" w:type="dxa"/>
            <w:vAlign w:val="bottom"/>
            <w:tcBorders>
              <w:bottom w:val="single" w:sz="8" w:color="auto"/>
            </w:tcBorders>
            <w:shd w:val="clear" w:color="auto" w:fill="CCEDFF"/>
          </w:tcPr>
          <w:p>
            <w:pPr>
              <w:spacing w:after="0"/>
              <w:rPr>
                <w:sz w:val="19"/>
                <w:szCs w:val="19"/>
                <w:color w:val="auto"/>
              </w:rPr>
            </w:pPr>
          </w:p>
        </w:tc>
        <w:tc>
          <w:tcPr>
            <w:tcW w:w="1460" w:type="dxa"/>
            <w:vAlign w:val="bottom"/>
            <w:tcBorders>
              <w:bottom w:val="single" w:sz="8" w:color="auto"/>
            </w:tcBorders>
            <w:shd w:val="clear" w:color="auto" w:fill="CCEDFF"/>
          </w:tcPr>
          <w:p>
            <w:pPr>
              <w:spacing w:after="0"/>
              <w:rPr>
                <w:sz w:val="19"/>
                <w:szCs w:val="19"/>
                <w:color w:val="auto"/>
              </w:rPr>
            </w:pPr>
          </w:p>
        </w:tc>
        <w:tc>
          <w:tcPr>
            <w:tcW w:w="2340" w:type="dxa"/>
            <w:vAlign w:val="bottom"/>
            <w:tcBorders>
              <w:bottom w:val="single" w:sz="8" w:color="auto"/>
            </w:tcBorders>
            <w:shd w:val="clear" w:color="auto" w:fill="CCEDFF"/>
          </w:tcPr>
          <w:p>
            <w:pPr>
              <w:jc w:val="right"/>
              <w:ind w:right="310"/>
              <w:spacing w:after="0"/>
              <w:rPr>
                <w:sz w:val="20"/>
                <w:szCs w:val="20"/>
                <w:color w:val="auto"/>
              </w:rPr>
            </w:pPr>
            <w:r>
              <w:rPr>
                <w:rFonts w:ascii="Arial" w:cs="Arial" w:eastAsia="Arial" w:hAnsi="Arial"/>
                <w:sz w:val="18"/>
                <w:szCs w:val="18"/>
                <w:color w:val="auto"/>
              </w:rPr>
              <w:t>33,983</w:t>
            </w:r>
          </w:p>
        </w:tc>
        <w:tc>
          <w:tcPr>
            <w:tcW w:w="14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33,391</w:t>
            </w:r>
          </w:p>
        </w:tc>
      </w:tr>
      <w:tr>
        <w:trPr>
          <w:trHeight w:val="223"/>
        </w:trPr>
        <w:tc>
          <w:tcPr>
            <w:tcW w:w="4840" w:type="dxa"/>
            <w:vAlign w:val="bottom"/>
          </w:tcPr>
          <w:p>
            <w:pPr>
              <w:ind w:left="140"/>
              <w:spacing w:after="0"/>
              <w:rPr>
                <w:sz w:val="20"/>
                <w:szCs w:val="20"/>
                <w:color w:val="auto"/>
              </w:rPr>
            </w:pPr>
            <w:r>
              <w:rPr>
                <w:rFonts w:ascii="Arial" w:cs="Arial" w:eastAsia="Arial" w:hAnsi="Arial"/>
                <w:sz w:val="18"/>
                <w:szCs w:val="18"/>
                <w:color w:val="auto"/>
              </w:rPr>
              <w:t>Property and equipment:</w:t>
            </w:r>
          </w:p>
        </w:tc>
        <w:tc>
          <w:tcPr>
            <w:tcW w:w="1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4840" w:type="dxa"/>
            <w:vAlign w:val="bottom"/>
            <w:shd w:val="clear" w:color="auto" w:fill="CCEDFF"/>
          </w:tcPr>
          <w:p>
            <w:pPr>
              <w:ind w:left="140"/>
              <w:spacing w:after="0"/>
              <w:rPr>
                <w:sz w:val="20"/>
                <w:szCs w:val="20"/>
                <w:color w:val="auto"/>
              </w:rPr>
            </w:pPr>
            <w:r>
              <w:rPr>
                <w:rFonts w:ascii="Arial" w:cs="Arial" w:eastAsia="Arial" w:hAnsi="Arial"/>
                <w:sz w:val="18"/>
                <w:szCs w:val="18"/>
                <w:color w:val="auto"/>
              </w:rPr>
              <w:t>Land and improvements</w:t>
            </w:r>
          </w:p>
        </w:tc>
        <w:tc>
          <w:tcPr>
            <w:tcW w:w="1120" w:type="dxa"/>
            <w:vAlign w:val="bottom"/>
            <w:shd w:val="clear" w:color="auto" w:fill="CCEDFF"/>
          </w:tcPr>
          <w:p>
            <w:pPr>
              <w:spacing w:after="0"/>
              <w:rPr>
                <w:sz w:val="19"/>
                <w:szCs w:val="19"/>
                <w:color w:val="auto"/>
              </w:rPr>
            </w:pPr>
          </w:p>
        </w:tc>
        <w:tc>
          <w:tcPr>
            <w:tcW w:w="1460" w:type="dxa"/>
            <w:vAlign w:val="bottom"/>
            <w:shd w:val="clear" w:color="auto" w:fill="CCEDFF"/>
          </w:tcPr>
          <w:p>
            <w:pPr>
              <w:spacing w:after="0"/>
              <w:rPr>
                <w:sz w:val="19"/>
                <w:szCs w:val="19"/>
                <w:color w:val="auto"/>
              </w:rPr>
            </w:pPr>
          </w:p>
        </w:tc>
        <w:tc>
          <w:tcPr>
            <w:tcW w:w="234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6,420</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12,366</w:t>
            </w:r>
          </w:p>
        </w:tc>
      </w:tr>
      <w:tr>
        <w:trPr>
          <w:trHeight w:val="229"/>
        </w:trPr>
        <w:tc>
          <w:tcPr>
            <w:tcW w:w="4840" w:type="dxa"/>
            <w:vAlign w:val="bottom"/>
          </w:tcPr>
          <w:p>
            <w:pPr>
              <w:ind w:left="140"/>
              <w:spacing w:after="0"/>
              <w:rPr>
                <w:sz w:val="20"/>
                <w:szCs w:val="20"/>
                <w:color w:val="auto"/>
              </w:rPr>
            </w:pPr>
            <w:r>
              <w:rPr>
                <w:rFonts w:ascii="Arial" w:cs="Arial" w:eastAsia="Arial" w:hAnsi="Arial"/>
                <w:sz w:val="18"/>
                <w:szCs w:val="18"/>
                <w:color w:val="auto"/>
              </w:rPr>
              <w:t>Buildings and improvements</w:t>
            </w:r>
          </w:p>
        </w:tc>
        <w:tc>
          <w:tcPr>
            <w:tcW w:w="1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340" w:type="dxa"/>
            <w:vAlign w:val="bottom"/>
          </w:tcPr>
          <w:p>
            <w:pPr>
              <w:jc w:val="right"/>
              <w:ind w:right="310"/>
              <w:spacing w:after="0"/>
              <w:rPr>
                <w:sz w:val="20"/>
                <w:szCs w:val="20"/>
                <w:color w:val="auto"/>
              </w:rPr>
            </w:pPr>
            <w:r>
              <w:rPr>
                <w:rFonts w:ascii="Arial" w:cs="Arial" w:eastAsia="Arial" w:hAnsi="Arial"/>
                <w:sz w:val="18"/>
                <w:szCs w:val="18"/>
                <w:color w:val="auto"/>
              </w:rPr>
              <w:t>70,152</w:t>
            </w:r>
          </w:p>
        </w:tc>
        <w:tc>
          <w:tcPr>
            <w:tcW w:w="1480" w:type="dxa"/>
            <w:vAlign w:val="bottom"/>
          </w:tcPr>
          <w:p>
            <w:pPr>
              <w:jc w:val="right"/>
              <w:spacing w:after="0"/>
              <w:rPr>
                <w:sz w:val="20"/>
                <w:szCs w:val="20"/>
                <w:color w:val="auto"/>
              </w:rPr>
            </w:pPr>
            <w:r>
              <w:rPr>
                <w:rFonts w:ascii="Arial" w:cs="Arial" w:eastAsia="Arial" w:hAnsi="Arial"/>
                <w:sz w:val="18"/>
                <w:szCs w:val="18"/>
                <w:color w:val="auto"/>
              </w:rPr>
              <w:t>83,140</w:t>
            </w:r>
          </w:p>
        </w:tc>
      </w:tr>
      <w:tr>
        <w:trPr>
          <w:trHeight w:val="230"/>
        </w:trPr>
        <w:tc>
          <w:tcPr>
            <w:tcW w:w="4840" w:type="dxa"/>
            <w:vAlign w:val="bottom"/>
            <w:shd w:val="clear" w:color="auto" w:fill="CCEDFF"/>
          </w:tcPr>
          <w:p>
            <w:pPr>
              <w:ind w:left="140"/>
              <w:spacing w:after="0"/>
              <w:rPr>
                <w:sz w:val="20"/>
                <w:szCs w:val="20"/>
                <w:color w:val="auto"/>
              </w:rPr>
            </w:pPr>
            <w:r>
              <w:rPr>
                <w:rFonts w:ascii="Arial" w:cs="Arial" w:eastAsia="Arial" w:hAnsi="Arial"/>
                <w:sz w:val="18"/>
                <w:szCs w:val="18"/>
                <w:color w:val="auto"/>
              </w:rPr>
              <w:t>Equipment</w:t>
            </w:r>
          </w:p>
        </w:tc>
        <w:tc>
          <w:tcPr>
            <w:tcW w:w="1120" w:type="dxa"/>
            <w:vAlign w:val="bottom"/>
            <w:shd w:val="clear" w:color="auto" w:fill="CCEDFF"/>
          </w:tcPr>
          <w:p>
            <w:pPr>
              <w:spacing w:after="0"/>
              <w:rPr>
                <w:sz w:val="19"/>
                <w:szCs w:val="19"/>
                <w:color w:val="auto"/>
              </w:rPr>
            </w:pPr>
          </w:p>
        </w:tc>
        <w:tc>
          <w:tcPr>
            <w:tcW w:w="1460" w:type="dxa"/>
            <w:vAlign w:val="bottom"/>
            <w:shd w:val="clear" w:color="auto" w:fill="CCEDFF"/>
          </w:tcPr>
          <w:p>
            <w:pPr>
              <w:spacing w:after="0"/>
              <w:rPr>
                <w:sz w:val="19"/>
                <w:szCs w:val="19"/>
                <w:color w:val="auto"/>
              </w:rPr>
            </w:pPr>
          </w:p>
        </w:tc>
        <w:tc>
          <w:tcPr>
            <w:tcW w:w="234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196,312</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213,714</w:t>
            </w:r>
          </w:p>
        </w:tc>
      </w:tr>
      <w:tr>
        <w:trPr>
          <w:trHeight w:val="229"/>
        </w:trPr>
        <w:tc>
          <w:tcPr>
            <w:tcW w:w="48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Construction in process</w:t>
            </w:r>
          </w:p>
        </w:tc>
        <w:tc>
          <w:tcPr>
            <w:tcW w:w="1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5,625</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2,453</w:t>
            </w:r>
          </w:p>
        </w:tc>
      </w:tr>
      <w:tr>
        <w:trPr>
          <w:trHeight w:val="223"/>
        </w:trPr>
        <w:tc>
          <w:tcPr>
            <w:tcW w:w="4840" w:type="dxa"/>
            <w:vAlign w:val="bottom"/>
            <w:shd w:val="clear" w:color="auto" w:fill="CCEDFF"/>
          </w:tcPr>
          <w:p>
            <w:pPr>
              <w:spacing w:after="0"/>
              <w:rPr>
                <w:sz w:val="19"/>
                <w:szCs w:val="19"/>
                <w:color w:val="auto"/>
              </w:rPr>
            </w:pPr>
          </w:p>
        </w:tc>
        <w:tc>
          <w:tcPr>
            <w:tcW w:w="1120" w:type="dxa"/>
            <w:vAlign w:val="bottom"/>
            <w:shd w:val="clear" w:color="auto" w:fill="CCEDFF"/>
          </w:tcPr>
          <w:p>
            <w:pPr>
              <w:spacing w:after="0"/>
              <w:rPr>
                <w:sz w:val="19"/>
                <w:szCs w:val="19"/>
                <w:color w:val="auto"/>
              </w:rPr>
            </w:pPr>
          </w:p>
        </w:tc>
        <w:tc>
          <w:tcPr>
            <w:tcW w:w="1460" w:type="dxa"/>
            <w:vAlign w:val="bottom"/>
            <w:shd w:val="clear" w:color="auto" w:fill="CCEDFF"/>
          </w:tcPr>
          <w:p>
            <w:pPr>
              <w:spacing w:after="0"/>
              <w:rPr>
                <w:sz w:val="19"/>
                <w:szCs w:val="19"/>
                <w:color w:val="auto"/>
              </w:rPr>
            </w:pPr>
          </w:p>
        </w:tc>
        <w:tc>
          <w:tcPr>
            <w:tcW w:w="234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278,509</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311,673</w:t>
            </w:r>
          </w:p>
        </w:tc>
      </w:tr>
      <w:tr>
        <w:trPr>
          <w:trHeight w:val="229"/>
        </w:trPr>
        <w:tc>
          <w:tcPr>
            <w:tcW w:w="48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Less accumulated depreciation</w:t>
            </w:r>
          </w:p>
        </w:tc>
        <w:tc>
          <w:tcPr>
            <w:tcW w:w="1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234,137</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250,439</w:t>
            </w:r>
          </w:p>
        </w:tc>
      </w:tr>
      <w:tr>
        <w:trPr>
          <w:trHeight w:val="223"/>
        </w:trPr>
        <w:tc>
          <w:tcPr>
            <w:tcW w:w="484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Property and equipment, net</w:t>
            </w:r>
          </w:p>
        </w:tc>
        <w:tc>
          <w:tcPr>
            <w:tcW w:w="1120" w:type="dxa"/>
            <w:vAlign w:val="bottom"/>
            <w:tcBorders>
              <w:bottom w:val="single" w:sz="8" w:color="auto"/>
            </w:tcBorders>
            <w:shd w:val="clear" w:color="auto" w:fill="CCEDFF"/>
          </w:tcPr>
          <w:p>
            <w:pPr>
              <w:spacing w:after="0"/>
              <w:rPr>
                <w:sz w:val="19"/>
                <w:szCs w:val="19"/>
                <w:color w:val="auto"/>
              </w:rPr>
            </w:pPr>
          </w:p>
        </w:tc>
        <w:tc>
          <w:tcPr>
            <w:tcW w:w="1460" w:type="dxa"/>
            <w:vAlign w:val="bottom"/>
            <w:tcBorders>
              <w:bottom w:val="single" w:sz="8" w:color="auto"/>
            </w:tcBorders>
            <w:shd w:val="clear" w:color="auto" w:fill="CCEDFF"/>
          </w:tcPr>
          <w:p>
            <w:pPr>
              <w:spacing w:after="0"/>
              <w:rPr>
                <w:sz w:val="19"/>
                <w:szCs w:val="19"/>
                <w:color w:val="auto"/>
              </w:rPr>
            </w:pPr>
          </w:p>
        </w:tc>
        <w:tc>
          <w:tcPr>
            <w:tcW w:w="2340" w:type="dxa"/>
            <w:vAlign w:val="bottom"/>
            <w:tcBorders>
              <w:bottom w:val="single" w:sz="8" w:color="auto"/>
            </w:tcBorders>
            <w:shd w:val="clear" w:color="auto" w:fill="CCEDFF"/>
          </w:tcPr>
          <w:p>
            <w:pPr>
              <w:jc w:val="right"/>
              <w:ind w:right="310"/>
              <w:spacing w:after="0"/>
              <w:rPr>
                <w:sz w:val="20"/>
                <w:szCs w:val="20"/>
                <w:color w:val="auto"/>
              </w:rPr>
            </w:pPr>
            <w:r>
              <w:rPr>
                <w:rFonts w:ascii="Arial" w:cs="Arial" w:eastAsia="Arial" w:hAnsi="Arial"/>
                <w:sz w:val="18"/>
                <w:szCs w:val="18"/>
                <w:color w:val="auto"/>
              </w:rPr>
              <w:t>44,372</w:t>
            </w:r>
          </w:p>
        </w:tc>
        <w:tc>
          <w:tcPr>
            <w:tcW w:w="14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61,234</w:t>
            </w:r>
          </w:p>
        </w:tc>
      </w:tr>
      <w:tr>
        <w:trPr>
          <w:trHeight w:val="223"/>
        </w:trPr>
        <w:tc>
          <w:tcPr>
            <w:tcW w:w="48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340" w:type="dxa"/>
            <w:vAlign w:val="bottom"/>
          </w:tcPr>
          <w:p>
            <w:pPr>
              <w:jc w:val="right"/>
              <w:ind w:right="310"/>
              <w:spacing w:after="0"/>
              <w:rPr>
                <w:sz w:val="20"/>
                <w:szCs w:val="20"/>
                <w:color w:val="auto"/>
              </w:rPr>
            </w:pPr>
            <w:r>
              <w:rPr>
                <w:rFonts w:ascii="Arial" w:cs="Arial" w:eastAsia="Arial" w:hAnsi="Arial"/>
                <w:sz w:val="18"/>
                <w:szCs w:val="18"/>
                <w:color w:val="auto"/>
              </w:rPr>
              <w:t>34,882</w:t>
            </w:r>
          </w:p>
        </w:tc>
        <w:tc>
          <w:tcPr>
            <w:tcW w:w="1480" w:type="dxa"/>
            <w:vAlign w:val="bottom"/>
          </w:tcPr>
          <w:p>
            <w:pPr>
              <w:jc w:val="right"/>
              <w:spacing w:after="0"/>
              <w:rPr>
                <w:sz w:val="20"/>
                <w:szCs w:val="20"/>
                <w:color w:val="auto"/>
              </w:rPr>
            </w:pPr>
            <w:r>
              <w:rPr>
                <w:rFonts w:ascii="Arial" w:cs="Arial" w:eastAsia="Arial" w:hAnsi="Arial"/>
                <w:sz w:val="18"/>
                <w:szCs w:val="18"/>
                <w:color w:val="auto"/>
              </w:rPr>
              <w:t>40,822</w:t>
            </w:r>
          </w:p>
        </w:tc>
      </w:tr>
      <w:tr>
        <w:trPr>
          <w:trHeight w:val="229"/>
        </w:trPr>
        <w:tc>
          <w:tcPr>
            <w:tcW w:w="4840" w:type="dxa"/>
            <w:vAlign w:val="bottom"/>
            <w:shd w:val="clear" w:color="auto" w:fill="CCEDFF"/>
          </w:tcPr>
          <w:p>
            <w:pPr>
              <w:ind w:left="20"/>
              <w:spacing w:after="0"/>
              <w:rPr>
                <w:sz w:val="20"/>
                <w:szCs w:val="20"/>
                <w:color w:val="auto"/>
              </w:rPr>
            </w:pPr>
            <w:r>
              <w:rPr>
                <w:rFonts w:ascii="Arial" w:cs="Arial" w:eastAsia="Arial" w:hAnsi="Arial"/>
                <w:sz w:val="18"/>
                <w:szCs w:val="18"/>
                <w:color w:val="auto"/>
              </w:rPr>
              <w:t>Goodwill</w:t>
            </w:r>
          </w:p>
        </w:tc>
        <w:tc>
          <w:tcPr>
            <w:tcW w:w="1120" w:type="dxa"/>
            <w:vAlign w:val="bottom"/>
            <w:shd w:val="clear" w:color="auto" w:fill="CCEDFF"/>
          </w:tcPr>
          <w:p>
            <w:pPr>
              <w:spacing w:after="0"/>
              <w:rPr>
                <w:sz w:val="19"/>
                <w:szCs w:val="19"/>
                <w:color w:val="auto"/>
              </w:rPr>
            </w:pPr>
          </w:p>
        </w:tc>
        <w:tc>
          <w:tcPr>
            <w:tcW w:w="1460" w:type="dxa"/>
            <w:vAlign w:val="bottom"/>
            <w:shd w:val="clear" w:color="auto" w:fill="CCEDFF"/>
          </w:tcPr>
          <w:p>
            <w:pPr>
              <w:spacing w:after="0"/>
              <w:rPr>
                <w:sz w:val="19"/>
                <w:szCs w:val="19"/>
                <w:color w:val="auto"/>
              </w:rPr>
            </w:pPr>
          </w:p>
        </w:tc>
        <w:tc>
          <w:tcPr>
            <w:tcW w:w="234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328,040</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329,504</w:t>
            </w: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Other intangible assets, net</w:t>
            </w:r>
          </w:p>
        </w:tc>
        <w:tc>
          <w:tcPr>
            <w:tcW w:w="1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340" w:type="dxa"/>
            <w:vAlign w:val="bottom"/>
          </w:tcPr>
          <w:p>
            <w:pPr>
              <w:jc w:val="right"/>
              <w:ind w:right="310"/>
              <w:spacing w:after="0"/>
              <w:rPr>
                <w:sz w:val="20"/>
                <w:szCs w:val="20"/>
                <w:color w:val="auto"/>
              </w:rPr>
            </w:pPr>
            <w:r>
              <w:rPr>
                <w:rFonts w:ascii="Arial" w:cs="Arial" w:eastAsia="Arial" w:hAnsi="Arial"/>
                <w:sz w:val="18"/>
                <w:szCs w:val="18"/>
                <w:color w:val="auto"/>
              </w:rPr>
              <w:t>70,075</w:t>
            </w:r>
          </w:p>
        </w:tc>
        <w:tc>
          <w:tcPr>
            <w:tcW w:w="1480" w:type="dxa"/>
            <w:vAlign w:val="bottom"/>
          </w:tcPr>
          <w:p>
            <w:pPr>
              <w:jc w:val="right"/>
              <w:spacing w:after="0"/>
              <w:rPr>
                <w:sz w:val="20"/>
                <w:szCs w:val="20"/>
                <w:color w:val="auto"/>
              </w:rPr>
            </w:pPr>
            <w:r>
              <w:rPr>
                <w:rFonts w:ascii="Arial" w:cs="Arial" w:eastAsia="Arial" w:hAnsi="Arial"/>
                <w:sz w:val="18"/>
                <w:szCs w:val="18"/>
                <w:color w:val="auto"/>
              </w:rPr>
              <w:t>94,988</w:t>
            </w:r>
          </w:p>
        </w:tc>
      </w:tr>
      <w:tr>
        <w:trPr>
          <w:trHeight w:val="230"/>
        </w:trPr>
        <w:tc>
          <w:tcPr>
            <w:tcW w:w="4840" w:type="dxa"/>
            <w:vAlign w:val="bottom"/>
            <w:shd w:val="clear" w:color="auto" w:fill="CCEDFF"/>
          </w:tcPr>
          <w:p>
            <w:pPr>
              <w:ind w:left="20"/>
              <w:spacing w:after="0"/>
              <w:rPr>
                <w:sz w:val="20"/>
                <w:szCs w:val="20"/>
                <w:color w:val="auto"/>
              </w:rPr>
            </w:pPr>
            <w:r>
              <w:rPr>
                <w:rFonts w:ascii="Arial" w:cs="Arial" w:eastAsia="Arial" w:hAnsi="Arial"/>
                <w:sz w:val="18"/>
                <w:szCs w:val="18"/>
                <w:color w:val="auto"/>
              </w:rPr>
              <w:t>Pension plan assets, net</w:t>
            </w:r>
          </w:p>
        </w:tc>
        <w:tc>
          <w:tcPr>
            <w:tcW w:w="1120" w:type="dxa"/>
            <w:vAlign w:val="bottom"/>
            <w:shd w:val="clear" w:color="auto" w:fill="CCEDFF"/>
          </w:tcPr>
          <w:p>
            <w:pPr>
              <w:spacing w:after="0"/>
              <w:rPr>
                <w:sz w:val="19"/>
                <w:szCs w:val="19"/>
                <w:color w:val="auto"/>
              </w:rPr>
            </w:pPr>
          </w:p>
        </w:tc>
        <w:tc>
          <w:tcPr>
            <w:tcW w:w="1460" w:type="dxa"/>
            <w:vAlign w:val="bottom"/>
            <w:shd w:val="clear" w:color="auto" w:fill="CCEDFF"/>
          </w:tcPr>
          <w:p>
            <w:pPr>
              <w:spacing w:after="0"/>
              <w:rPr>
                <w:sz w:val="19"/>
                <w:szCs w:val="19"/>
                <w:color w:val="auto"/>
              </w:rPr>
            </w:pPr>
          </w:p>
        </w:tc>
        <w:tc>
          <w:tcPr>
            <w:tcW w:w="234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4,663</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10,843</w:t>
            </w: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Medical plan assets, net</w:t>
            </w:r>
          </w:p>
        </w:tc>
        <w:tc>
          <w:tcPr>
            <w:tcW w:w="1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340" w:type="dxa"/>
            <w:vAlign w:val="bottom"/>
          </w:tcPr>
          <w:p>
            <w:pPr>
              <w:jc w:val="right"/>
              <w:ind w:right="310"/>
              <w:spacing w:after="0"/>
              <w:rPr>
                <w:sz w:val="20"/>
                <w:szCs w:val="20"/>
                <w:color w:val="auto"/>
              </w:rPr>
            </w:pPr>
            <w:r>
              <w:rPr>
                <w:rFonts w:ascii="Arial" w:cs="Arial" w:eastAsia="Arial" w:hAnsi="Arial"/>
                <w:sz w:val="18"/>
                <w:szCs w:val="18"/>
                <w:color w:val="auto"/>
              </w:rPr>
              <w:t>23,300</w:t>
            </w:r>
          </w:p>
        </w:tc>
        <w:tc>
          <w:tcPr>
            <w:tcW w:w="1480" w:type="dxa"/>
            <w:vAlign w:val="bottom"/>
          </w:tcPr>
          <w:p>
            <w:pPr>
              <w:jc w:val="right"/>
              <w:spacing w:after="0"/>
              <w:rPr>
                <w:sz w:val="20"/>
                <w:szCs w:val="20"/>
                <w:color w:val="auto"/>
              </w:rPr>
            </w:pPr>
            <w:r>
              <w:rPr>
                <w:rFonts w:ascii="Arial" w:cs="Arial" w:eastAsia="Arial" w:hAnsi="Arial"/>
                <w:sz w:val="18"/>
                <w:szCs w:val="18"/>
                <w:color w:val="auto"/>
              </w:rPr>
              <w:t>21,565</w:t>
            </w:r>
          </w:p>
        </w:tc>
      </w:tr>
      <w:tr>
        <w:trPr>
          <w:trHeight w:val="229"/>
        </w:trPr>
        <w:tc>
          <w:tcPr>
            <w:tcW w:w="484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shd w:val="clear" w:color="auto" w:fill="CCEDFF"/>
          </w:tcPr>
          <w:p>
            <w:pPr>
              <w:spacing w:after="0"/>
              <w:rPr>
                <w:sz w:val="19"/>
                <w:szCs w:val="19"/>
                <w:color w:val="auto"/>
              </w:rPr>
            </w:pPr>
          </w:p>
        </w:tc>
        <w:tc>
          <w:tcPr>
            <w:tcW w:w="1460" w:type="dxa"/>
            <w:vAlign w:val="bottom"/>
            <w:tcBorders>
              <w:bottom w:val="single" w:sz="8" w:color="auto"/>
            </w:tcBorders>
            <w:shd w:val="clear" w:color="auto" w:fill="CCEDFF"/>
          </w:tcPr>
          <w:p>
            <w:pPr>
              <w:spacing w:after="0"/>
              <w:rPr>
                <w:sz w:val="19"/>
                <w:szCs w:val="19"/>
                <w:color w:val="auto"/>
              </w:rPr>
            </w:pPr>
          </w:p>
        </w:tc>
        <w:tc>
          <w:tcPr>
            <w:tcW w:w="2340" w:type="dxa"/>
            <w:vAlign w:val="bottom"/>
            <w:tcBorders>
              <w:bottom w:val="single" w:sz="8" w:color="auto"/>
            </w:tcBorders>
            <w:shd w:val="clear" w:color="auto" w:fill="CCEDFF"/>
          </w:tcPr>
          <w:p>
            <w:pPr>
              <w:jc w:val="right"/>
              <w:ind w:right="310"/>
              <w:spacing w:after="0"/>
              <w:rPr>
                <w:sz w:val="20"/>
                <w:szCs w:val="20"/>
                <w:color w:val="auto"/>
              </w:rPr>
            </w:pPr>
            <w:r>
              <w:rPr>
                <w:rFonts w:ascii="Arial" w:cs="Arial" w:eastAsia="Arial" w:hAnsi="Arial"/>
                <w:sz w:val="18"/>
                <w:szCs w:val="18"/>
                <w:color w:val="auto"/>
              </w:rPr>
              <w:t>12,083</w:t>
            </w:r>
          </w:p>
        </w:tc>
        <w:tc>
          <w:tcPr>
            <w:tcW w:w="14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12,741</w:t>
            </w:r>
          </w:p>
        </w:tc>
      </w:tr>
      <w:tr>
        <w:trPr>
          <w:trHeight w:val="223"/>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assets</w:t>
            </w:r>
          </w:p>
        </w:tc>
        <w:tc>
          <w:tcPr>
            <w:tcW w:w="1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649,171</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711,617</w:t>
            </w:r>
          </w:p>
        </w:tc>
      </w:tr>
      <w:tr>
        <w:trPr>
          <w:trHeight w:val="20"/>
        </w:trPr>
        <w:tc>
          <w:tcPr>
            <w:tcW w:w="48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60" w:type="dxa"/>
            <w:vAlign w:val="bottom"/>
            <w:tcBorders>
              <w:top w:val="single" w:sz="8" w:color="auto"/>
            </w:tcBorders>
          </w:tcPr>
          <w:p>
            <w:pPr>
              <w:spacing w:after="0"/>
              <w:rPr>
                <w:sz w:val="17"/>
                <w:szCs w:val="17"/>
                <w:color w:val="auto"/>
              </w:rPr>
            </w:pPr>
          </w:p>
        </w:tc>
        <w:tc>
          <w:tcPr>
            <w:tcW w:w="2100" w:type="dxa"/>
            <w:vAlign w:val="bottom"/>
            <w:tcBorders>
              <w:top w:val="single" w:sz="8" w:color="auto"/>
            </w:tcBorders>
          </w:tcPr>
          <w:p>
            <w:pPr>
              <w:jc w:val="right"/>
              <w:ind w:right="250"/>
              <w:spacing w:after="0" w:line="197" w:lineRule="exact"/>
              <w:rPr>
                <w:sz w:val="20"/>
                <w:szCs w:val="20"/>
                <w:color w:val="auto"/>
              </w:rPr>
            </w:pPr>
            <w:r>
              <w:rPr>
                <w:rFonts w:ascii="Arial" w:cs="Arial" w:eastAsia="Arial" w:hAnsi="Arial"/>
                <w:sz w:val="18"/>
                <w:szCs w:val="18"/>
                <w:color w:val="auto"/>
              </w:rPr>
              <w:t>September 29</w:t>
            </w:r>
          </w:p>
        </w:tc>
        <w:tc>
          <w:tcPr>
            <w:tcW w:w="1480" w:type="dxa"/>
            <w:vAlign w:val="bottom"/>
            <w:tcBorders>
              <w:top w:val="single" w:sz="8" w:color="auto"/>
            </w:tcBorders>
          </w:tcPr>
          <w:p>
            <w:pPr>
              <w:jc w:val="right"/>
              <w:spacing w:after="0" w:line="197" w:lineRule="exact"/>
              <w:rPr>
                <w:sz w:val="20"/>
                <w:szCs w:val="20"/>
                <w:color w:val="auto"/>
              </w:rPr>
            </w:pPr>
            <w:r>
              <w:rPr>
                <w:rFonts w:ascii="Arial" w:cs="Arial" w:eastAsia="Arial" w:hAnsi="Arial"/>
                <w:sz w:val="18"/>
                <w:szCs w:val="18"/>
                <w:color w:val="auto"/>
              </w:rPr>
              <w:t>September 24</w:t>
            </w:r>
          </w:p>
        </w:tc>
      </w:tr>
      <w:tr>
        <w:trPr>
          <w:trHeight w:val="235"/>
        </w:trPr>
        <w:tc>
          <w:tcPr>
            <w:tcW w:w="76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 and Shares, Except Per Share Data)</w:t>
            </w:r>
          </w:p>
        </w:tc>
        <w:tc>
          <w:tcPr>
            <w:tcW w:w="2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2024</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484"/>
        </w:trPr>
        <w:tc>
          <w:tcPr>
            <w:tcW w:w="7660" w:type="dxa"/>
            <w:vAlign w:val="bottom"/>
          </w:tcPr>
          <w:p>
            <w:pPr>
              <w:ind w:left="20"/>
              <w:spacing w:after="0"/>
              <w:rPr>
                <w:sz w:val="20"/>
                <w:szCs w:val="20"/>
                <w:color w:val="auto"/>
              </w:rPr>
            </w:pPr>
            <w:r>
              <w:rPr>
                <w:rFonts w:ascii="Arial" w:cs="Arial" w:eastAsia="Arial" w:hAnsi="Arial"/>
                <w:sz w:val="18"/>
                <w:szCs w:val="18"/>
                <w:color w:val="auto"/>
              </w:rPr>
              <w:t>LIABILITIES AND EQUITY</w:t>
            </w:r>
          </w:p>
        </w:tc>
        <w:tc>
          <w:tcPr>
            <w:tcW w:w="2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95"/>
        </w:trPr>
        <w:tc>
          <w:tcPr>
            <w:tcW w:w="76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0"/>
        </w:trPr>
        <w:tc>
          <w:tcPr>
            <w:tcW w:w="7660" w:type="dxa"/>
            <w:vAlign w:val="bottom"/>
            <w:shd w:val="clear" w:color="auto" w:fill="CCEDFF"/>
          </w:tcPr>
          <w:p>
            <w:pPr>
              <w:ind w:left="140"/>
              <w:spacing w:after="0"/>
              <w:rPr>
                <w:sz w:val="20"/>
                <w:szCs w:val="20"/>
                <w:color w:val="auto"/>
              </w:rPr>
            </w:pPr>
            <w:r>
              <w:rPr>
                <w:rFonts w:ascii="Arial" w:cs="Arial" w:eastAsia="Arial" w:hAnsi="Arial"/>
                <w:sz w:val="18"/>
                <w:szCs w:val="18"/>
                <w:color w:val="auto"/>
              </w:rPr>
              <w:t>Current portion of lease liabilities</w:t>
            </w:r>
          </w:p>
        </w:tc>
        <w:tc>
          <w:tcPr>
            <w:tcW w:w="210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8,139</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7,755</w:t>
            </w:r>
          </w:p>
        </w:tc>
      </w:tr>
      <w:tr>
        <w:trPr>
          <w:trHeight w:val="229"/>
        </w:trPr>
        <w:tc>
          <w:tcPr>
            <w:tcW w:w="766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100" w:type="dxa"/>
            <w:vAlign w:val="bottom"/>
          </w:tcPr>
          <w:p>
            <w:pPr>
              <w:jc w:val="right"/>
              <w:ind w:right="310"/>
              <w:spacing w:after="0"/>
              <w:rPr>
                <w:sz w:val="20"/>
                <w:szCs w:val="20"/>
                <w:color w:val="auto"/>
              </w:rPr>
            </w:pPr>
            <w:r>
              <w:rPr>
                <w:rFonts w:ascii="Arial" w:cs="Arial" w:eastAsia="Arial" w:hAnsi="Arial"/>
                <w:sz w:val="18"/>
                <w:szCs w:val="18"/>
                <w:color w:val="auto"/>
              </w:rPr>
              <w:t>36,290</w:t>
            </w:r>
          </w:p>
        </w:tc>
        <w:tc>
          <w:tcPr>
            <w:tcW w:w="1480" w:type="dxa"/>
            <w:vAlign w:val="bottom"/>
          </w:tcPr>
          <w:p>
            <w:pPr>
              <w:jc w:val="right"/>
              <w:spacing w:after="0"/>
              <w:rPr>
                <w:sz w:val="20"/>
                <w:szCs w:val="20"/>
                <w:color w:val="auto"/>
              </w:rPr>
            </w:pPr>
            <w:r>
              <w:rPr>
                <w:rFonts w:ascii="Arial" w:cs="Arial" w:eastAsia="Arial" w:hAnsi="Arial"/>
                <w:sz w:val="18"/>
                <w:szCs w:val="18"/>
                <w:color w:val="auto"/>
              </w:rPr>
              <w:t>36,290</w:t>
            </w:r>
          </w:p>
        </w:tc>
      </w:tr>
      <w:tr>
        <w:trPr>
          <w:trHeight w:val="229"/>
        </w:trPr>
        <w:tc>
          <w:tcPr>
            <w:tcW w:w="7660" w:type="dxa"/>
            <w:vAlign w:val="bottom"/>
            <w:shd w:val="clear" w:color="auto" w:fill="CCEDFF"/>
          </w:tcPr>
          <w:p>
            <w:pPr>
              <w:ind w:left="140"/>
              <w:spacing w:after="0"/>
              <w:rPr>
                <w:sz w:val="20"/>
                <w:szCs w:val="20"/>
                <w:color w:val="auto"/>
              </w:rPr>
            </w:pPr>
            <w:r>
              <w:rPr>
                <w:rFonts w:ascii="Arial" w:cs="Arial" w:eastAsia="Arial" w:hAnsi="Arial"/>
                <w:sz w:val="18"/>
                <w:szCs w:val="18"/>
                <w:color w:val="auto"/>
              </w:rPr>
              <w:t>Compensation and other accrued liabilities</w:t>
            </w:r>
          </w:p>
        </w:tc>
        <w:tc>
          <w:tcPr>
            <w:tcW w:w="210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39,170</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29,448</w:t>
            </w:r>
          </w:p>
        </w:tc>
      </w:tr>
      <w:tr>
        <w:trPr>
          <w:trHeight w:val="230"/>
        </w:trPr>
        <w:tc>
          <w:tcPr>
            <w:tcW w:w="76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Unearned revenue</w:t>
            </w:r>
          </w:p>
        </w:tc>
        <w:tc>
          <w:tcPr>
            <w:tcW w:w="2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31,755</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40,843</w:t>
            </w:r>
          </w:p>
        </w:tc>
      </w:tr>
      <w:tr>
        <w:trPr>
          <w:trHeight w:val="223"/>
        </w:trPr>
        <w:tc>
          <w:tcPr>
            <w:tcW w:w="766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Total current liabilities</w:t>
            </w:r>
          </w:p>
        </w:tc>
        <w:tc>
          <w:tcPr>
            <w:tcW w:w="2100" w:type="dxa"/>
            <w:vAlign w:val="bottom"/>
            <w:tcBorders>
              <w:bottom w:val="single" w:sz="8" w:color="auto"/>
            </w:tcBorders>
            <w:shd w:val="clear" w:color="auto" w:fill="CCEDFF"/>
          </w:tcPr>
          <w:p>
            <w:pPr>
              <w:jc w:val="right"/>
              <w:ind w:right="310"/>
              <w:spacing w:after="0"/>
              <w:rPr>
                <w:sz w:val="20"/>
                <w:szCs w:val="20"/>
                <w:color w:val="auto"/>
              </w:rPr>
            </w:pPr>
            <w:r>
              <w:rPr>
                <w:rFonts w:ascii="Arial" w:cs="Arial" w:eastAsia="Arial" w:hAnsi="Arial"/>
                <w:sz w:val="18"/>
                <w:szCs w:val="18"/>
                <w:color w:val="auto"/>
              </w:rPr>
              <w:t>115,354</w:t>
            </w:r>
          </w:p>
        </w:tc>
        <w:tc>
          <w:tcPr>
            <w:tcW w:w="14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114,336</w:t>
            </w:r>
          </w:p>
        </w:tc>
      </w:tr>
      <w:tr>
        <w:trPr>
          <w:trHeight w:val="223"/>
        </w:trPr>
        <w:tc>
          <w:tcPr>
            <w:tcW w:w="7660" w:type="dxa"/>
            <w:vAlign w:val="bottom"/>
          </w:tcPr>
          <w:p>
            <w:pPr>
              <w:ind w:left="20"/>
              <w:spacing w:after="0"/>
              <w:rPr>
                <w:sz w:val="20"/>
                <w:szCs w:val="20"/>
                <w:color w:val="auto"/>
              </w:rPr>
            </w:pPr>
            <w:r>
              <w:rPr>
                <w:rFonts w:ascii="Arial" w:cs="Arial" w:eastAsia="Arial" w:hAnsi="Arial"/>
                <w:sz w:val="18"/>
                <w:szCs w:val="18"/>
                <w:color w:val="auto"/>
              </w:rPr>
              <w:t>Long-term debt, net of current maturities</w:t>
            </w:r>
          </w:p>
        </w:tc>
        <w:tc>
          <w:tcPr>
            <w:tcW w:w="2100" w:type="dxa"/>
            <w:vAlign w:val="bottom"/>
          </w:tcPr>
          <w:p>
            <w:pPr>
              <w:jc w:val="right"/>
              <w:ind w:right="310"/>
              <w:spacing w:after="0"/>
              <w:rPr>
                <w:sz w:val="20"/>
                <w:szCs w:val="20"/>
                <w:color w:val="auto"/>
              </w:rPr>
            </w:pPr>
            <w:r>
              <w:rPr>
                <w:rFonts w:ascii="Arial" w:cs="Arial" w:eastAsia="Arial" w:hAnsi="Arial"/>
                <w:sz w:val="18"/>
                <w:szCs w:val="18"/>
                <w:color w:val="auto"/>
              </w:rPr>
              <w:t>445,943</w:t>
            </w:r>
          </w:p>
        </w:tc>
        <w:tc>
          <w:tcPr>
            <w:tcW w:w="1480" w:type="dxa"/>
            <w:vAlign w:val="bottom"/>
          </w:tcPr>
          <w:p>
            <w:pPr>
              <w:jc w:val="right"/>
              <w:spacing w:after="0"/>
              <w:rPr>
                <w:sz w:val="20"/>
                <w:szCs w:val="20"/>
                <w:color w:val="auto"/>
              </w:rPr>
            </w:pPr>
            <w:r>
              <w:rPr>
                <w:rFonts w:ascii="Arial" w:cs="Arial" w:eastAsia="Arial" w:hAnsi="Arial"/>
                <w:sz w:val="18"/>
                <w:szCs w:val="18"/>
                <w:color w:val="auto"/>
              </w:rPr>
              <w:t>455,741</w:t>
            </w:r>
          </w:p>
        </w:tc>
      </w:tr>
      <w:tr>
        <w:trPr>
          <w:trHeight w:val="229"/>
        </w:trPr>
        <w:tc>
          <w:tcPr>
            <w:tcW w:w="7660" w:type="dxa"/>
            <w:vAlign w:val="bottom"/>
            <w:shd w:val="clear" w:color="auto" w:fill="CCEDFF"/>
          </w:tcPr>
          <w:p>
            <w:pPr>
              <w:ind w:left="20"/>
              <w:spacing w:after="0"/>
              <w:rPr>
                <w:sz w:val="20"/>
                <w:szCs w:val="20"/>
                <w:color w:val="auto"/>
              </w:rPr>
            </w:pPr>
            <w:r>
              <w:rPr>
                <w:rFonts w:ascii="Arial" w:cs="Arial" w:eastAsia="Arial" w:hAnsi="Arial"/>
                <w:sz w:val="18"/>
                <w:szCs w:val="18"/>
                <w:color w:val="auto"/>
              </w:rPr>
              <w:t>Operating lease liabilities</w:t>
            </w:r>
          </w:p>
        </w:tc>
        <w:tc>
          <w:tcPr>
            <w:tcW w:w="210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29,769</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36,580</w:t>
            </w:r>
          </w:p>
        </w:tc>
      </w:tr>
      <w:tr>
        <w:trPr>
          <w:trHeight w:val="230"/>
        </w:trPr>
        <w:tc>
          <w:tcPr>
            <w:tcW w:w="7660" w:type="dxa"/>
            <w:vAlign w:val="bottom"/>
          </w:tcPr>
          <w:p>
            <w:pPr>
              <w:ind w:left="20"/>
              <w:spacing w:after="0"/>
              <w:rPr>
                <w:sz w:val="20"/>
                <w:szCs w:val="20"/>
                <w:color w:val="auto"/>
              </w:rPr>
            </w:pPr>
            <w:r>
              <w:rPr>
                <w:rFonts w:ascii="Arial" w:cs="Arial" w:eastAsia="Arial" w:hAnsi="Arial"/>
                <w:sz w:val="18"/>
                <w:szCs w:val="18"/>
                <w:color w:val="auto"/>
              </w:rPr>
              <w:t>Pension obligations</w:t>
            </w:r>
          </w:p>
        </w:tc>
        <w:tc>
          <w:tcPr>
            <w:tcW w:w="2100" w:type="dxa"/>
            <w:vAlign w:val="bottom"/>
          </w:tcPr>
          <w:p>
            <w:pPr>
              <w:jc w:val="right"/>
              <w:ind w:right="310"/>
              <w:spacing w:after="0"/>
              <w:rPr>
                <w:sz w:val="20"/>
                <w:szCs w:val="20"/>
                <w:color w:val="auto"/>
              </w:rPr>
            </w:pPr>
            <w:r>
              <w:rPr>
                <w:rFonts w:ascii="Arial" w:cs="Arial" w:eastAsia="Arial" w:hAnsi="Arial"/>
                <w:sz w:val="18"/>
                <w:szCs w:val="18"/>
                <w:color w:val="auto"/>
              </w:rPr>
              <w:t>561</w:t>
            </w:r>
          </w:p>
        </w:tc>
        <w:tc>
          <w:tcPr>
            <w:tcW w:w="1480" w:type="dxa"/>
            <w:vAlign w:val="bottom"/>
          </w:tcPr>
          <w:p>
            <w:pPr>
              <w:jc w:val="right"/>
              <w:spacing w:after="0"/>
              <w:rPr>
                <w:sz w:val="20"/>
                <w:szCs w:val="20"/>
                <w:color w:val="auto"/>
              </w:rPr>
            </w:pPr>
            <w:r>
              <w:rPr>
                <w:rFonts w:ascii="Arial" w:cs="Arial" w:eastAsia="Arial" w:hAnsi="Arial"/>
                <w:sz w:val="18"/>
                <w:szCs w:val="18"/>
                <w:color w:val="auto"/>
              </w:rPr>
              <w:t>586</w:t>
            </w:r>
          </w:p>
        </w:tc>
      </w:tr>
      <w:tr>
        <w:trPr>
          <w:trHeight w:val="229"/>
        </w:trPr>
        <w:tc>
          <w:tcPr>
            <w:tcW w:w="7660" w:type="dxa"/>
            <w:vAlign w:val="bottom"/>
            <w:shd w:val="clear" w:color="auto" w:fill="CCEDFF"/>
          </w:tcPr>
          <w:p>
            <w:pPr>
              <w:ind w:left="20"/>
              <w:spacing w:after="0"/>
              <w:rPr>
                <w:sz w:val="20"/>
                <w:szCs w:val="20"/>
                <w:color w:val="auto"/>
              </w:rPr>
            </w:pPr>
            <w:r>
              <w:rPr>
                <w:rFonts w:ascii="Arial" w:cs="Arial" w:eastAsia="Arial" w:hAnsi="Arial"/>
                <w:sz w:val="18"/>
                <w:szCs w:val="18"/>
                <w:color w:val="auto"/>
              </w:rPr>
              <w:t>Postretirement and postemployment benefit obligations</w:t>
            </w:r>
          </w:p>
        </w:tc>
        <w:tc>
          <w:tcPr>
            <w:tcW w:w="210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7,520</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8,618</w:t>
            </w: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100" w:type="dxa"/>
            <w:vAlign w:val="bottom"/>
          </w:tcPr>
          <w:p>
            <w:pPr>
              <w:jc w:val="right"/>
              <w:ind w:right="310"/>
              <w:spacing w:after="0"/>
              <w:rPr>
                <w:sz w:val="20"/>
                <w:szCs w:val="20"/>
                <w:color w:val="auto"/>
              </w:rPr>
            </w:pPr>
            <w:r>
              <w:rPr>
                <w:rFonts w:ascii="Arial" w:cs="Arial" w:eastAsia="Arial" w:hAnsi="Arial"/>
                <w:sz w:val="18"/>
                <w:szCs w:val="18"/>
                <w:color w:val="auto"/>
              </w:rPr>
              <w:t>28,403</w:t>
            </w:r>
          </w:p>
        </w:tc>
        <w:tc>
          <w:tcPr>
            <w:tcW w:w="1480" w:type="dxa"/>
            <w:vAlign w:val="bottom"/>
          </w:tcPr>
          <w:p>
            <w:pPr>
              <w:jc w:val="right"/>
              <w:spacing w:after="0"/>
              <w:rPr>
                <w:sz w:val="20"/>
                <w:szCs w:val="20"/>
                <w:color w:val="auto"/>
              </w:rPr>
            </w:pPr>
            <w:r>
              <w:rPr>
                <w:rFonts w:ascii="Arial" w:cs="Arial" w:eastAsia="Arial" w:hAnsi="Arial"/>
                <w:sz w:val="18"/>
                <w:szCs w:val="18"/>
                <w:color w:val="auto"/>
              </w:rPr>
              <w:t>41,351</w:t>
            </w:r>
          </w:p>
        </w:tc>
      </w:tr>
      <w:tr>
        <w:trPr>
          <w:trHeight w:val="230"/>
        </w:trPr>
        <w:tc>
          <w:tcPr>
            <w:tcW w:w="7660" w:type="dxa"/>
            <w:vAlign w:val="bottom"/>
            <w:shd w:val="clear" w:color="auto" w:fill="CCEDFF"/>
          </w:tcPr>
          <w:p>
            <w:pPr>
              <w:ind w:left="20"/>
              <w:spacing w:after="0"/>
              <w:rPr>
                <w:sz w:val="20"/>
                <w:szCs w:val="20"/>
                <w:color w:val="auto"/>
              </w:rPr>
            </w:pPr>
            <w:r>
              <w:rPr>
                <w:rFonts w:ascii="Arial" w:cs="Arial" w:eastAsia="Arial" w:hAnsi="Arial"/>
                <w:sz w:val="18"/>
                <w:szCs w:val="18"/>
                <w:color w:val="auto"/>
              </w:rPr>
              <w:t>Income taxes payable</w:t>
            </w:r>
          </w:p>
        </w:tc>
        <w:tc>
          <w:tcPr>
            <w:tcW w:w="210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3,456</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5,809</w:t>
            </w:r>
          </w:p>
        </w:tc>
      </w:tr>
      <w:tr>
        <w:trPr>
          <w:trHeight w:val="229"/>
        </w:trPr>
        <w:tc>
          <w:tcPr>
            <w:tcW w:w="7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Withdrawal liabilities and other</w:t>
            </w:r>
          </w:p>
        </w:tc>
        <w:tc>
          <w:tcPr>
            <w:tcW w:w="2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25,499</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24,890</w:t>
            </w:r>
          </w:p>
        </w:tc>
      </w:tr>
      <w:tr>
        <w:trPr>
          <w:trHeight w:val="223"/>
        </w:trPr>
        <w:tc>
          <w:tcPr>
            <w:tcW w:w="766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Total liabilities</w:t>
            </w:r>
          </w:p>
        </w:tc>
        <w:tc>
          <w:tcPr>
            <w:tcW w:w="2100" w:type="dxa"/>
            <w:vAlign w:val="bottom"/>
            <w:tcBorders>
              <w:bottom w:val="single" w:sz="8" w:color="auto"/>
            </w:tcBorders>
            <w:shd w:val="clear" w:color="auto" w:fill="CCEDFF"/>
          </w:tcPr>
          <w:p>
            <w:pPr>
              <w:jc w:val="right"/>
              <w:ind w:right="310"/>
              <w:spacing w:after="0"/>
              <w:rPr>
                <w:sz w:val="20"/>
                <w:szCs w:val="20"/>
                <w:color w:val="auto"/>
              </w:rPr>
            </w:pPr>
            <w:r>
              <w:rPr>
                <w:rFonts w:ascii="Arial" w:cs="Arial" w:eastAsia="Arial" w:hAnsi="Arial"/>
                <w:sz w:val="18"/>
                <w:szCs w:val="18"/>
                <w:color w:val="auto"/>
              </w:rPr>
              <w:t>656,505</w:t>
            </w:r>
          </w:p>
        </w:tc>
        <w:tc>
          <w:tcPr>
            <w:tcW w:w="14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687,911</w:t>
            </w:r>
          </w:p>
        </w:tc>
      </w:tr>
      <w:tr>
        <w:trPr>
          <w:trHeight w:val="223"/>
        </w:trPr>
        <w:tc>
          <w:tcPr>
            <w:tcW w:w="7660" w:type="dxa"/>
            <w:vAlign w:val="bottom"/>
          </w:tcPr>
          <w:p>
            <w:pPr>
              <w:ind w:left="20"/>
              <w:spacing w:after="0"/>
              <w:rPr>
                <w:sz w:val="20"/>
                <w:szCs w:val="20"/>
                <w:color w:val="auto"/>
              </w:rPr>
            </w:pPr>
            <w:r>
              <w:rPr>
                <w:rFonts w:ascii="Arial" w:cs="Arial" w:eastAsia="Arial" w:hAnsi="Arial"/>
                <w:sz w:val="18"/>
                <w:szCs w:val="18"/>
                <w:color w:val="auto"/>
              </w:rPr>
              <w:t>Commitments and Contingent Liabilities (Note 17)</w:t>
            </w:r>
          </w:p>
        </w:tc>
        <w:tc>
          <w:tcPr>
            <w:tcW w:w="2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7660" w:type="dxa"/>
            <w:vAlign w:val="bottom"/>
            <w:shd w:val="clear" w:color="auto" w:fill="CCEDFF"/>
          </w:tcPr>
          <w:p>
            <w:pPr>
              <w:ind w:left="20"/>
              <w:spacing w:after="0"/>
              <w:rPr>
                <w:sz w:val="20"/>
                <w:szCs w:val="20"/>
                <w:color w:val="auto"/>
              </w:rPr>
            </w:pPr>
            <w:r>
              <w:rPr>
                <w:rFonts w:ascii="Arial" w:cs="Arial" w:eastAsia="Arial" w:hAnsi="Arial"/>
                <w:sz w:val="18"/>
                <w:szCs w:val="18"/>
                <w:color w:val="auto"/>
              </w:rPr>
              <w:t>Equity:</w:t>
            </w:r>
          </w:p>
        </w:tc>
        <w:tc>
          <w:tcPr>
            <w:tcW w:w="2100" w:type="dxa"/>
            <w:vAlign w:val="bottom"/>
            <w:shd w:val="clear" w:color="auto" w:fill="CCEDFF"/>
          </w:tcPr>
          <w:p>
            <w:pPr>
              <w:spacing w:after="0"/>
              <w:rPr>
                <w:sz w:val="19"/>
                <w:szCs w:val="19"/>
                <w:color w:val="auto"/>
              </w:rPr>
            </w:pPr>
          </w:p>
        </w:tc>
        <w:tc>
          <w:tcPr>
            <w:tcW w:w="1480" w:type="dxa"/>
            <w:vAlign w:val="bottom"/>
            <w:shd w:val="clear" w:color="auto" w:fill="CCEDFF"/>
          </w:tcPr>
          <w:p>
            <w:pPr>
              <w:spacing w:after="0"/>
              <w:rPr>
                <w:sz w:val="19"/>
                <w:szCs w:val="19"/>
                <w:color w:val="auto"/>
              </w:rPr>
            </w:pPr>
          </w:p>
        </w:tc>
      </w:tr>
      <w:tr>
        <w:trPr>
          <w:trHeight w:val="229"/>
        </w:trPr>
        <w:tc>
          <w:tcPr>
            <w:tcW w:w="7660" w:type="dxa"/>
            <w:vAlign w:val="bottom"/>
          </w:tcPr>
          <w:p>
            <w:pPr>
              <w:ind w:left="140"/>
              <w:spacing w:after="0"/>
              <w:rPr>
                <w:sz w:val="20"/>
                <w:szCs w:val="20"/>
                <w:color w:val="auto"/>
              </w:rPr>
            </w:pPr>
            <w:r>
              <w:rPr>
                <w:rFonts w:ascii="Arial" w:cs="Arial" w:eastAsia="Arial" w:hAnsi="Arial"/>
                <w:sz w:val="18"/>
                <w:szCs w:val="18"/>
                <w:color w:val="auto"/>
              </w:rPr>
              <w:t>Stockholders' equity:</w:t>
            </w:r>
          </w:p>
        </w:tc>
        <w:tc>
          <w:tcPr>
            <w:tcW w:w="2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7660" w:type="dxa"/>
            <w:vAlign w:val="bottom"/>
            <w:shd w:val="clear" w:color="auto" w:fill="CCEDFF"/>
          </w:tcPr>
          <w:p>
            <w:pPr>
              <w:ind w:left="360"/>
              <w:spacing w:after="0"/>
              <w:rPr>
                <w:sz w:val="20"/>
                <w:szCs w:val="20"/>
                <w:color w:val="auto"/>
              </w:rPr>
            </w:pPr>
            <w:r>
              <w:rPr>
                <w:rFonts w:ascii="Arial" w:cs="Arial" w:eastAsia="Arial" w:hAnsi="Arial"/>
                <w:sz w:val="18"/>
                <w:szCs w:val="18"/>
                <w:color w:val="auto"/>
              </w:rPr>
              <w:t>Serial convertible preferred stock, no par value; authorized 500 shares; none issued</w:t>
            </w:r>
          </w:p>
        </w:tc>
        <w:tc>
          <w:tcPr>
            <w:tcW w:w="210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60" w:type="dxa"/>
            <w:vAlign w:val="bottom"/>
          </w:tcPr>
          <w:p>
            <w:pPr>
              <w:ind w:left="360"/>
              <w:spacing w:after="0"/>
              <w:rPr>
                <w:sz w:val="20"/>
                <w:szCs w:val="20"/>
                <w:color w:val="auto"/>
              </w:rPr>
            </w:pPr>
            <w:r>
              <w:rPr>
                <w:rFonts w:ascii="Arial" w:cs="Arial" w:eastAsia="Arial" w:hAnsi="Arial"/>
                <w:sz w:val="18"/>
                <w:szCs w:val="18"/>
                <w:color w:val="auto"/>
              </w:rPr>
              <w:t>Common Stock, authorized 12,000 shares; issued and outstanding:</w:t>
            </w:r>
          </w:p>
        </w:tc>
        <w:tc>
          <w:tcPr>
            <w:tcW w:w="2100" w:type="dxa"/>
            <w:vAlign w:val="bottom"/>
          </w:tcPr>
          <w:p>
            <w:pPr>
              <w:jc w:val="right"/>
              <w:ind w:right="310"/>
              <w:spacing w:after="0"/>
              <w:rPr>
                <w:sz w:val="20"/>
                <w:szCs w:val="20"/>
                <w:color w:val="auto"/>
              </w:rPr>
            </w:pPr>
            <w:r>
              <w:rPr>
                <w:rFonts w:ascii="Arial" w:cs="Arial" w:eastAsia="Arial" w:hAnsi="Arial"/>
                <w:sz w:val="18"/>
                <w:szCs w:val="18"/>
                <w:color w:val="auto"/>
              </w:rPr>
              <w:t>62</w:t>
            </w:r>
          </w:p>
        </w:tc>
        <w:tc>
          <w:tcPr>
            <w:tcW w:w="14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7660" w:type="dxa"/>
            <w:vAlign w:val="bottom"/>
            <w:shd w:val="clear" w:color="auto" w:fill="CCEDFF"/>
          </w:tcPr>
          <w:p>
            <w:pPr>
              <w:ind w:left="460"/>
              <w:spacing w:after="0"/>
              <w:rPr>
                <w:sz w:val="20"/>
                <w:szCs w:val="20"/>
                <w:color w:val="auto"/>
              </w:rPr>
            </w:pPr>
            <w:r>
              <w:rPr>
                <w:rFonts w:ascii="Arial" w:cs="Arial" w:eastAsia="Arial" w:hAnsi="Arial"/>
                <w:sz w:val="18"/>
                <w:szCs w:val="18"/>
                <w:color w:val="auto"/>
              </w:rPr>
              <w:t>September 29, 2024; 6,190 shares; $0.01 par value</w:t>
            </w:r>
          </w:p>
        </w:tc>
        <w:tc>
          <w:tcPr>
            <w:tcW w:w="2100" w:type="dxa"/>
            <w:vAlign w:val="bottom"/>
            <w:shd w:val="clear" w:color="auto" w:fill="CCEDFF"/>
          </w:tcPr>
          <w:p>
            <w:pPr>
              <w:spacing w:after="0"/>
              <w:rPr>
                <w:sz w:val="19"/>
                <w:szCs w:val="19"/>
                <w:color w:val="auto"/>
              </w:rPr>
            </w:pPr>
          </w:p>
        </w:tc>
        <w:tc>
          <w:tcPr>
            <w:tcW w:w="1480" w:type="dxa"/>
            <w:vAlign w:val="bottom"/>
            <w:shd w:val="clear" w:color="auto" w:fill="CCEDFF"/>
          </w:tcPr>
          <w:p>
            <w:pPr>
              <w:spacing w:after="0"/>
              <w:rPr>
                <w:sz w:val="19"/>
                <w:szCs w:val="19"/>
                <w:color w:val="auto"/>
              </w:rPr>
            </w:pPr>
          </w:p>
        </w:tc>
      </w:tr>
      <w:tr>
        <w:trPr>
          <w:trHeight w:val="230"/>
        </w:trPr>
        <w:tc>
          <w:tcPr>
            <w:tcW w:w="7660" w:type="dxa"/>
            <w:vAlign w:val="bottom"/>
          </w:tcPr>
          <w:p>
            <w:pPr>
              <w:ind w:left="460"/>
              <w:spacing w:after="0"/>
              <w:rPr>
                <w:sz w:val="20"/>
                <w:szCs w:val="20"/>
                <w:color w:val="auto"/>
              </w:rPr>
            </w:pPr>
            <w:r>
              <w:rPr>
                <w:rFonts w:ascii="Arial" w:cs="Arial" w:eastAsia="Arial" w:hAnsi="Arial"/>
                <w:sz w:val="18"/>
                <w:szCs w:val="18"/>
                <w:color w:val="auto"/>
              </w:rPr>
              <w:t>September 24, 2023; 6,064 shares; $0.01 par value</w:t>
            </w:r>
          </w:p>
        </w:tc>
        <w:tc>
          <w:tcPr>
            <w:tcW w:w="2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7660" w:type="dxa"/>
            <w:vAlign w:val="bottom"/>
            <w:shd w:val="clear" w:color="auto" w:fill="CCEDFF"/>
          </w:tcPr>
          <w:p>
            <w:pPr>
              <w:ind w:left="360"/>
              <w:spacing w:after="0"/>
              <w:rPr>
                <w:sz w:val="20"/>
                <w:szCs w:val="20"/>
                <w:color w:val="auto"/>
              </w:rPr>
            </w:pPr>
            <w:r>
              <w:rPr>
                <w:rFonts w:ascii="Arial" w:cs="Arial" w:eastAsia="Arial" w:hAnsi="Arial"/>
                <w:sz w:val="18"/>
                <w:szCs w:val="18"/>
                <w:color w:val="auto"/>
              </w:rPr>
              <w:t>Class B Common Stock, $2 par value; authorized 3,000 shares; none issued</w:t>
            </w:r>
          </w:p>
        </w:tc>
        <w:tc>
          <w:tcPr>
            <w:tcW w:w="210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6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2100" w:type="dxa"/>
            <w:vAlign w:val="bottom"/>
          </w:tcPr>
          <w:p>
            <w:pPr>
              <w:jc w:val="right"/>
              <w:ind w:right="310"/>
              <w:spacing w:after="0"/>
              <w:rPr>
                <w:sz w:val="20"/>
                <w:szCs w:val="20"/>
                <w:color w:val="auto"/>
              </w:rPr>
            </w:pPr>
            <w:r>
              <w:rPr>
                <w:rFonts w:ascii="Arial" w:cs="Arial" w:eastAsia="Arial" w:hAnsi="Arial"/>
                <w:sz w:val="18"/>
                <w:szCs w:val="18"/>
                <w:color w:val="auto"/>
              </w:rPr>
              <w:t>262,470</w:t>
            </w:r>
          </w:p>
        </w:tc>
        <w:tc>
          <w:tcPr>
            <w:tcW w:w="1480" w:type="dxa"/>
            <w:vAlign w:val="bottom"/>
          </w:tcPr>
          <w:p>
            <w:pPr>
              <w:jc w:val="right"/>
              <w:spacing w:after="0"/>
              <w:rPr>
                <w:sz w:val="20"/>
                <w:szCs w:val="20"/>
                <w:color w:val="auto"/>
              </w:rPr>
            </w:pPr>
            <w:r>
              <w:rPr>
                <w:rFonts w:ascii="Arial" w:cs="Arial" w:eastAsia="Arial" w:hAnsi="Arial"/>
                <w:sz w:val="18"/>
                <w:szCs w:val="18"/>
                <w:color w:val="auto"/>
              </w:rPr>
              <w:t>260,832</w:t>
            </w:r>
          </w:p>
        </w:tc>
      </w:tr>
      <w:tr>
        <w:trPr>
          <w:trHeight w:val="229"/>
        </w:trPr>
        <w:tc>
          <w:tcPr>
            <w:tcW w:w="7660" w:type="dxa"/>
            <w:vAlign w:val="bottom"/>
            <w:shd w:val="clear" w:color="auto" w:fill="CCEDFF"/>
          </w:tcPr>
          <w:p>
            <w:pPr>
              <w:ind w:left="360"/>
              <w:spacing w:after="0"/>
              <w:rPr>
                <w:sz w:val="20"/>
                <w:szCs w:val="20"/>
                <w:color w:val="auto"/>
              </w:rPr>
            </w:pPr>
            <w:r>
              <w:rPr>
                <w:rFonts w:ascii="Arial" w:cs="Arial" w:eastAsia="Arial" w:hAnsi="Arial"/>
                <w:sz w:val="18"/>
                <w:szCs w:val="18"/>
                <w:color w:val="auto"/>
              </w:rPr>
              <w:t>Accumulated deficit</w:t>
            </w:r>
          </w:p>
        </w:tc>
        <w:tc>
          <w:tcPr>
            <w:tcW w:w="2100" w:type="dxa"/>
            <w:vAlign w:val="bottom"/>
            <w:shd w:val="clear" w:color="auto" w:fill="CCEDFF"/>
          </w:tcPr>
          <w:p>
            <w:pPr>
              <w:jc w:val="right"/>
              <w:ind w:right="250"/>
              <w:spacing w:after="0"/>
              <w:rPr>
                <w:sz w:val="20"/>
                <w:szCs w:val="20"/>
                <w:color w:val="auto"/>
              </w:rPr>
            </w:pPr>
            <w:r>
              <w:rPr>
                <w:rFonts w:ascii="Arial" w:cs="Arial" w:eastAsia="Arial" w:hAnsi="Arial"/>
                <w:sz w:val="18"/>
                <w:szCs w:val="18"/>
                <w:color w:val="auto"/>
              </w:rPr>
              <w:t>(292,341)</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(266,496)</w:t>
            </w:r>
          </w:p>
        </w:tc>
      </w:tr>
      <w:tr>
        <w:trPr>
          <w:trHeight w:val="230"/>
        </w:trPr>
        <w:tc>
          <w:tcPr>
            <w:tcW w:w="76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2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19,920</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26,843</w:t>
            </w:r>
          </w:p>
        </w:tc>
      </w:tr>
      <w:tr>
        <w:trPr>
          <w:trHeight w:val="223"/>
        </w:trPr>
        <w:tc>
          <w:tcPr>
            <w:tcW w:w="7660" w:type="dxa"/>
            <w:vAlign w:val="bottom"/>
            <w:shd w:val="clear" w:color="auto" w:fill="CCEDFF"/>
          </w:tcPr>
          <w:p>
            <w:pPr>
              <w:ind w:left="140"/>
              <w:spacing w:after="0"/>
              <w:rPr>
                <w:sz w:val="20"/>
                <w:szCs w:val="20"/>
                <w:color w:val="auto"/>
              </w:rPr>
            </w:pPr>
            <w:r>
              <w:rPr>
                <w:rFonts w:ascii="Arial" w:cs="Arial" w:eastAsia="Arial" w:hAnsi="Arial"/>
                <w:sz w:val="18"/>
                <w:szCs w:val="18"/>
                <w:color w:val="auto"/>
              </w:rPr>
              <w:t>Total Lee Enterprises, Inc.stockholders' (deficit) equity</w:t>
            </w:r>
          </w:p>
        </w:tc>
        <w:tc>
          <w:tcPr>
            <w:tcW w:w="2100" w:type="dxa"/>
            <w:vAlign w:val="bottom"/>
            <w:shd w:val="clear" w:color="auto" w:fill="CCEDFF"/>
          </w:tcPr>
          <w:p>
            <w:pPr>
              <w:jc w:val="right"/>
              <w:ind w:right="250"/>
              <w:spacing w:after="0"/>
              <w:rPr>
                <w:sz w:val="20"/>
                <w:szCs w:val="20"/>
                <w:color w:val="auto"/>
              </w:rPr>
            </w:pPr>
            <w:r>
              <w:rPr>
                <w:rFonts w:ascii="Arial" w:cs="Arial" w:eastAsia="Arial" w:hAnsi="Arial"/>
                <w:sz w:val="18"/>
                <w:szCs w:val="18"/>
                <w:color w:val="auto"/>
              </w:rPr>
              <w:t>(9,889)</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21,240</w:t>
            </w:r>
          </w:p>
        </w:tc>
      </w:tr>
      <w:tr>
        <w:trPr>
          <w:trHeight w:val="230"/>
        </w:trPr>
        <w:tc>
          <w:tcPr>
            <w:tcW w:w="76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Non-controlling interests</w:t>
            </w:r>
          </w:p>
        </w:tc>
        <w:tc>
          <w:tcPr>
            <w:tcW w:w="2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2,555</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2,466</w:t>
            </w:r>
          </w:p>
        </w:tc>
      </w:tr>
      <w:tr>
        <w:trPr>
          <w:trHeight w:val="223"/>
        </w:trPr>
        <w:tc>
          <w:tcPr>
            <w:tcW w:w="766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Total (deficit) equity</w:t>
            </w:r>
          </w:p>
        </w:tc>
        <w:tc>
          <w:tcPr>
            <w:tcW w:w="2100" w:type="dxa"/>
            <w:vAlign w:val="bottom"/>
            <w:tcBorders>
              <w:bottom w:val="single" w:sz="8" w:color="auto"/>
            </w:tcBorders>
            <w:shd w:val="clear" w:color="auto" w:fill="CCEDFF"/>
          </w:tcPr>
          <w:p>
            <w:pPr>
              <w:jc w:val="right"/>
              <w:ind w:right="250"/>
              <w:spacing w:after="0"/>
              <w:rPr>
                <w:sz w:val="20"/>
                <w:szCs w:val="20"/>
                <w:color w:val="auto"/>
              </w:rPr>
            </w:pPr>
            <w:r>
              <w:rPr>
                <w:rFonts w:ascii="Arial" w:cs="Arial" w:eastAsia="Arial" w:hAnsi="Arial"/>
                <w:sz w:val="18"/>
                <w:szCs w:val="18"/>
                <w:color w:val="auto"/>
              </w:rPr>
              <w:t>(7,334)</w:t>
            </w:r>
          </w:p>
        </w:tc>
        <w:tc>
          <w:tcPr>
            <w:tcW w:w="14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23,706</w:t>
            </w:r>
          </w:p>
        </w:tc>
      </w:tr>
      <w:tr>
        <w:trPr>
          <w:trHeight w:val="223"/>
        </w:trPr>
        <w:tc>
          <w:tcPr>
            <w:tcW w:w="7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liabilities and (deficit) equity</w:t>
            </w:r>
          </w:p>
        </w:tc>
        <w:tc>
          <w:tcPr>
            <w:tcW w:w="2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649,171</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711,617</w:t>
            </w:r>
          </w:p>
        </w:tc>
      </w:tr>
      <w:tr>
        <w:trPr>
          <w:trHeight w:val="20"/>
        </w:trPr>
        <w:tc>
          <w:tcPr>
            <w:tcW w:w="76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(DEFICIT) EQUITY</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0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Amount</w:t>
            </w:r>
          </w:p>
        </w:tc>
        <w:tc>
          <w:tcPr>
            <w:tcW w:w="12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Shares</w:t>
            </w:r>
          </w:p>
        </w:tc>
        <w:tc>
          <w:tcPr>
            <w:tcW w:w="88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 and Shares)</w:t>
            </w: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2024</w:t>
            </w: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2023</w:t>
            </w: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2022</w:t>
            </w: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2024</w:t>
            </w:r>
          </w:p>
        </w:tc>
        <w:tc>
          <w:tcPr>
            <w:tcW w:w="13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2023</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480"/>
        </w:trPr>
        <w:tc>
          <w:tcPr>
            <w:tcW w:w="4000" w:type="dxa"/>
            <w:vAlign w:val="bottom"/>
          </w:tcPr>
          <w:p>
            <w:pPr>
              <w:ind w:left="20"/>
              <w:spacing w:after="0"/>
              <w:rPr>
                <w:sz w:val="20"/>
                <w:szCs w:val="20"/>
                <w:color w:val="auto"/>
              </w:rPr>
            </w:pPr>
            <w:r>
              <w:rPr>
                <w:rFonts w:ascii="Arial" w:cs="Arial" w:eastAsia="Arial" w:hAnsi="Arial"/>
                <w:sz w:val="18"/>
                <w:szCs w:val="18"/>
                <w:color w:val="auto"/>
              </w:rPr>
              <w:t>Common Stock:</w:t>
            </w: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year</w:t>
            </w:r>
          </w:p>
        </w:tc>
        <w:tc>
          <w:tcPr>
            <w:tcW w:w="12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61</w:t>
            </w:r>
          </w:p>
        </w:tc>
        <w:tc>
          <w:tcPr>
            <w:tcW w:w="12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60</w:t>
            </w:r>
          </w:p>
        </w:tc>
        <w:tc>
          <w:tcPr>
            <w:tcW w:w="12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59</w:t>
            </w:r>
          </w:p>
        </w:tc>
        <w:tc>
          <w:tcPr>
            <w:tcW w:w="10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6,064</w:t>
            </w:r>
          </w:p>
        </w:tc>
        <w:tc>
          <w:tcPr>
            <w:tcW w:w="13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5,979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5,889</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Shares issued</w:t>
            </w:r>
          </w:p>
        </w:tc>
        <w:tc>
          <w:tcPr>
            <w:tcW w:w="12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w:t>
            </w:r>
          </w:p>
        </w:tc>
        <w:tc>
          <w:tcPr>
            <w:tcW w:w="1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w:t>
            </w: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w:t>
            </w: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126</w:t>
            </w:r>
          </w:p>
        </w:tc>
        <w:tc>
          <w:tcPr>
            <w:tcW w:w="13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85</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end of year</w:t>
            </w:r>
          </w:p>
        </w:tc>
        <w:tc>
          <w:tcPr>
            <w:tcW w:w="12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62</w:t>
            </w:r>
          </w:p>
        </w:tc>
        <w:tc>
          <w:tcPr>
            <w:tcW w:w="12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61</w:t>
            </w:r>
          </w:p>
        </w:tc>
        <w:tc>
          <w:tcPr>
            <w:tcW w:w="12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60</w:t>
            </w:r>
          </w:p>
        </w:tc>
        <w:tc>
          <w:tcPr>
            <w:tcW w:w="10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6,190</w:t>
            </w:r>
          </w:p>
        </w:tc>
        <w:tc>
          <w:tcPr>
            <w:tcW w:w="13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6,064</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5,979</w:t>
            </w: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1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year</w:t>
            </w:r>
          </w:p>
        </w:tc>
        <w:tc>
          <w:tcPr>
            <w:tcW w:w="12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260,832</w:t>
            </w:r>
          </w:p>
        </w:tc>
        <w:tc>
          <w:tcPr>
            <w:tcW w:w="12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259,521</w:t>
            </w:r>
          </w:p>
        </w:tc>
        <w:tc>
          <w:tcPr>
            <w:tcW w:w="12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258,063</w:t>
            </w:r>
          </w:p>
        </w:tc>
        <w:tc>
          <w:tcPr>
            <w:tcW w:w="10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1,751</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1,806</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1,487</w:t>
            </w:r>
          </w:p>
        </w:tc>
        <w:tc>
          <w:tcPr>
            <w:tcW w:w="10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Shares redeemed</w:t>
            </w:r>
          </w:p>
        </w:tc>
        <w:tc>
          <w:tcPr>
            <w:tcW w:w="1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(113)</w:t>
            </w:r>
          </w:p>
        </w:tc>
        <w:tc>
          <w:tcPr>
            <w:tcW w:w="12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(495)</w:t>
            </w: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(29)</w:t>
            </w:r>
          </w:p>
        </w:tc>
        <w:tc>
          <w:tcPr>
            <w:tcW w:w="10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end of year</w:t>
            </w:r>
          </w:p>
        </w:tc>
        <w:tc>
          <w:tcPr>
            <w:tcW w:w="12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262,470</w:t>
            </w:r>
          </w:p>
        </w:tc>
        <w:tc>
          <w:tcPr>
            <w:tcW w:w="1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260,832</w:t>
            </w: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259,521</w:t>
            </w:r>
          </w:p>
        </w:tc>
        <w:tc>
          <w:tcPr>
            <w:tcW w:w="10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1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Balance, beginning of year</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(266,496)</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(261,229)</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(259,212)</w:t>
            </w:r>
          </w:p>
        </w:tc>
        <w:tc>
          <w:tcPr>
            <w:tcW w:w="10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Net (loss) income attributable to Lee</w:t>
            </w:r>
          </w:p>
        </w:tc>
        <w:tc>
          <w:tcPr>
            <w:tcW w:w="12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(25,845)</w:t>
            </w:r>
          </w:p>
        </w:tc>
        <w:tc>
          <w:tcPr>
            <w:tcW w:w="128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(5,267)</w:t>
            </w:r>
          </w:p>
        </w:tc>
        <w:tc>
          <w:tcPr>
            <w:tcW w:w="12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(2,017)</w:t>
            </w:r>
          </w:p>
        </w:tc>
        <w:tc>
          <w:tcPr>
            <w:tcW w:w="10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Enterprises, Inc.</w:t>
            </w:r>
          </w:p>
        </w:tc>
        <w:tc>
          <w:tcPr>
            <w:tcW w:w="1220" w:type="dxa"/>
            <w:vAlign w:val="bottom"/>
            <w:tcBorders>
              <w:bottom w:val="single" w:sz="8" w:color="auto"/>
            </w:tcBorders>
            <w:vMerge w:val="continue"/>
            <w:shd w:val="clear" w:color="auto" w:fill="CCEEFF"/>
          </w:tcPr>
          <w:p>
            <w:pPr>
              <w:spacing w:after="0"/>
              <w:rPr>
                <w:sz w:val="21"/>
                <w:szCs w:val="21"/>
                <w:color w:val="auto"/>
              </w:rPr>
            </w:pPr>
          </w:p>
        </w:tc>
        <w:tc>
          <w:tcPr>
            <w:tcW w:w="1280" w:type="dxa"/>
            <w:vAlign w:val="bottom"/>
            <w:tcBorders>
              <w:bottom w:val="single" w:sz="8" w:color="auto"/>
            </w:tcBorders>
            <w:vMerge w:val="continue"/>
            <w:shd w:val="clear" w:color="auto" w:fill="CCEEFF"/>
          </w:tcPr>
          <w:p>
            <w:pPr>
              <w:spacing w:after="0"/>
              <w:rPr>
                <w:sz w:val="21"/>
                <w:szCs w:val="21"/>
                <w:color w:val="auto"/>
              </w:rPr>
            </w:pPr>
          </w:p>
        </w:tc>
        <w:tc>
          <w:tcPr>
            <w:tcW w:w="1260" w:type="dxa"/>
            <w:vAlign w:val="bottom"/>
            <w:tcBorders>
              <w:bottom w:val="single" w:sz="8" w:color="auto"/>
            </w:tcBorders>
            <w:vMerge w:val="continue"/>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end of year</w:t>
            </w: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(292,341)</w:t>
            </w: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(266,496)</w:t>
            </w: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(261,229)</w:t>
            </w:r>
          </w:p>
        </w:tc>
        <w:tc>
          <w:tcPr>
            <w:tcW w:w="10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00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Accumulated other comprehensive income</w:t>
            </w:r>
          </w:p>
        </w:tc>
        <w:tc>
          <w:tcPr>
            <w:tcW w:w="12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w:t>
            </w:r>
          </w:p>
        </w:tc>
        <w:tc>
          <w:tcPr>
            <w:tcW w:w="12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Balance, beginning of year</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26,843</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16,653</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42,187</w:t>
            </w:r>
          </w:p>
        </w:tc>
        <w:tc>
          <w:tcPr>
            <w:tcW w:w="10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pension and postretirement benefits</w:t>
            </w: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(9,337)</w:t>
            </w:r>
          </w:p>
        </w:tc>
        <w:tc>
          <w:tcPr>
            <w:tcW w:w="12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13,364</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(32,202)</w:t>
            </w:r>
          </w:p>
        </w:tc>
        <w:tc>
          <w:tcPr>
            <w:tcW w:w="10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Deferred income taxes, net</w:t>
            </w:r>
          </w:p>
        </w:tc>
        <w:tc>
          <w:tcPr>
            <w:tcW w:w="12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2,414</w:t>
            </w: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(3,174)</w:t>
            </w: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6,668</w:t>
            </w:r>
          </w:p>
        </w:tc>
        <w:tc>
          <w:tcPr>
            <w:tcW w:w="10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end of year</w:t>
            </w:r>
          </w:p>
        </w:tc>
        <w:tc>
          <w:tcPr>
            <w:tcW w:w="12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19,920</w:t>
            </w:r>
          </w:p>
        </w:tc>
        <w:tc>
          <w:tcPr>
            <w:tcW w:w="12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26,843</w:t>
            </w:r>
          </w:p>
        </w:tc>
        <w:tc>
          <w:tcPr>
            <w:tcW w:w="12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16,653</w:t>
            </w:r>
          </w:p>
        </w:tc>
        <w:tc>
          <w:tcPr>
            <w:tcW w:w="10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1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year</w:t>
            </w:r>
          </w:p>
        </w:tc>
        <w:tc>
          <w:tcPr>
            <w:tcW w:w="12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2,466</w:t>
            </w:r>
          </w:p>
        </w:tc>
        <w:tc>
          <w:tcPr>
            <w:tcW w:w="12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2,232</w:t>
            </w:r>
          </w:p>
        </w:tc>
        <w:tc>
          <w:tcPr>
            <w:tcW w:w="12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2,133</w:t>
            </w:r>
          </w:p>
        </w:tc>
        <w:tc>
          <w:tcPr>
            <w:tcW w:w="10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2,272</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2,534</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2,114</w:t>
            </w:r>
          </w:p>
        </w:tc>
        <w:tc>
          <w:tcPr>
            <w:tcW w:w="10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Distributions to minority owners</w:t>
            </w:r>
          </w:p>
        </w:tc>
        <w:tc>
          <w:tcPr>
            <w:tcW w:w="1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(2,183)</w:t>
            </w:r>
          </w:p>
        </w:tc>
        <w:tc>
          <w:tcPr>
            <w:tcW w:w="12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(2,300)</w:t>
            </w: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(2,015)</w:t>
            </w:r>
          </w:p>
        </w:tc>
        <w:tc>
          <w:tcPr>
            <w:tcW w:w="10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end of year</w:t>
            </w:r>
          </w:p>
        </w:tc>
        <w:tc>
          <w:tcPr>
            <w:tcW w:w="12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2,555</w:t>
            </w:r>
          </w:p>
        </w:tc>
        <w:tc>
          <w:tcPr>
            <w:tcW w:w="1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2,466</w:t>
            </w: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2,232</w:t>
            </w:r>
          </w:p>
        </w:tc>
        <w:tc>
          <w:tcPr>
            <w:tcW w:w="10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(deficit) equity</w:t>
            </w: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(7,334)</w:t>
            </w:r>
          </w:p>
        </w:tc>
        <w:tc>
          <w:tcPr>
            <w:tcW w:w="1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23,706</w:t>
            </w: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17,237</w:t>
            </w: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6,190</w:t>
            </w:r>
          </w:p>
        </w:tc>
        <w:tc>
          <w:tcPr>
            <w:tcW w:w="13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6,064</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5,979</w:t>
            </w:r>
          </w:p>
        </w:tc>
        <w:tc>
          <w:tcPr>
            <w:tcW w:w="0" w:type="dxa"/>
            <w:vAlign w:val="bottom"/>
          </w:tcPr>
          <w:p>
            <w:pPr>
              <w:spacing w:after="0"/>
              <w:rPr>
                <w:sz w:val="1"/>
                <w:szCs w:val="1"/>
                <w:color w:val="auto"/>
              </w:rPr>
            </w:pPr>
          </w:p>
        </w:tc>
      </w:tr>
      <w:tr>
        <w:trPr>
          <w:trHeight w:val="20"/>
        </w:trPr>
        <w:tc>
          <w:tcPr>
            <w:tcW w:w="40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9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16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2024</w:t>
            </w:r>
          </w:p>
        </w:tc>
        <w:tc>
          <w:tcPr>
            <w:tcW w:w="1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2023</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50"/>
        </w:trPr>
        <w:tc>
          <w:tcPr>
            <w:tcW w:w="69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920" w:type="dxa"/>
            <w:vAlign w:val="bottom"/>
            <w:shd w:val="clear" w:color="auto" w:fill="CCEDFF"/>
          </w:tcPr>
          <w:p>
            <w:pPr>
              <w:ind w:left="20"/>
              <w:spacing w:after="0"/>
              <w:rPr>
                <w:sz w:val="20"/>
                <w:szCs w:val="20"/>
                <w:color w:val="auto"/>
              </w:rPr>
            </w:pPr>
            <w:r>
              <w:rPr>
                <w:rFonts w:ascii="Arial" w:cs="Arial" w:eastAsia="Arial" w:hAnsi="Arial"/>
                <w:sz w:val="18"/>
                <w:szCs w:val="18"/>
                <w:color w:val="auto"/>
              </w:rPr>
              <w:t>Cash provided by (required for) operating activities:</w:t>
            </w:r>
          </w:p>
        </w:tc>
        <w:tc>
          <w:tcPr>
            <w:tcW w:w="1600" w:type="dxa"/>
            <w:vAlign w:val="bottom"/>
            <w:shd w:val="clear" w:color="auto" w:fill="CCEDFF"/>
          </w:tcPr>
          <w:p>
            <w:pPr>
              <w:spacing w:after="0"/>
              <w:rPr>
                <w:sz w:val="19"/>
                <w:szCs w:val="19"/>
                <w:color w:val="auto"/>
              </w:rPr>
            </w:pPr>
          </w:p>
        </w:tc>
        <w:tc>
          <w:tcPr>
            <w:tcW w:w="1580" w:type="dxa"/>
            <w:vAlign w:val="bottom"/>
            <w:shd w:val="clear" w:color="auto" w:fill="CCEDFF"/>
          </w:tcPr>
          <w:p>
            <w:pPr>
              <w:spacing w:after="0"/>
              <w:rPr>
                <w:sz w:val="19"/>
                <w:szCs w:val="19"/>
                <w:color w:val="auto"/>
              </w:rPr>
            </w:pPr>
          </w:p>
        </w:tc>
        <w:tc>
          <w:tcPr>
            <w:tcW w:w="114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20" w:type="dxa"/>
            <w:vAlign w:val="bottom"/>
          </w:tcPr>
          <w:p>
            <w:pPr>
              <w:ind w:left="140"/>
              <w:spacing w:after="0"/>
              <w:rPr>
                <w:sz w:val="20"/>
                <w:szCs w:val="20"/>
                <w:color w:val="auto"/>
              </w:rPr>
            </w:pPr>
            <w:r>
              <w:rPr>
                <w:rFonts w:ascii="Arial" w:cs="Arial" w:eastAsia="Arial" w:hAnsi="Arial"/>
                <w:sz w:val="18"/>
                <w:szCs w:val="18"/>
                <w:color w:val="auto"/>
              </w:rPr>
              <w:t>Net (loss) income</w:t>
            </w:r>
          </w:p>
        </w:tc>
        <w:tc>
          <w:tcPr>
            <w:tcW w:w="1600" w:type="dxa"/>
            <w:vAlign w:val="bottom"/>
          </w:tcPr>
          <w:p>
            <w:pPr>
              <w:jc w:val="right"/>
              <w:ind w:right="370"/>
              <w:spacing w:after="0"/>
              <w:rPr>
                <w:sz w:val="20"/>
                <w:szCs w:val="20"/>
                <w:color w:val="auto"/>
              </w:rPr>
            </w:pPr>
            <w:r>
              <w:rPr>
                <w:rFonts w:ascii="Arial" w:cs="Arial" w:eastAsia="Arial" w:hAnsi="Arial"/>
                <w:sz w:val="18"/>
                <w:szCs w:val="18"/>
                <w:color w:val="auto"/>
              </w:rPr>
              <w:t>(23,573)</w:t>
            </w:r>
          </w:p>
        </w:tc>
        <w:tc>
          <w:tcPr>
            <w:tcW w:w="1580" w:type="dxa"/>
            <w:vAlign w:val="bottom"/>
          </w:tcPr>
          <w:p>
            <w:pPr>
              <w:jc w:val="right"/>
              <w:ind w:right="370"/>
              <w:spacing w:after="0"/>
              <w:rPr>
                <w:sz w:val="20"/>
                <w:szCs w:val="20"/>
                <w:color w:val="auto"/>
              </w:rPr>
            </w:pPr>
            <w:r>
              <w:rPr>
                <w:rFonts w:ascii="Arial" w:cs="Arial" w:eastAsia="Arial" w:hAnsi="Arial"/>
                <w:sz w:val="18"/>
                <w:szCs w:val="18"/>
                <w:color w:val="auto"/>
              </w:rPr>
              <w:t>(2,733)</w:t>
            </w:r>
          </w:p>
        </w:tc>
        <w:tc>
          <w:tcPr>
            <w:tcW w:w="114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76"/>
        </w:trPr>
        <w:tc>
          <w:tcPr>
            <w:tcW w:w="6920" w:type="dxa"/>
            <w:vAlign w:val="bottom"/>
            <w:shd w:val="clear" w:color="auto" w:fill="CCEDFF"/>
          </w:tcPr>
          <w:p>
            <w:pPr>
              <w:ind w:left="20"/>
              <w:spacing w:after="0" w:line="176" w:lineRule="exact"/>
              <w:rPr>
                <w:sz w:val="20"/>
                <w:szCs w:val="20"/>
                <w:color w:val="auto"/>
              </w:rPr>
            </w:pPr>
            <w:r>
              <w:rPr>
                <w:rFonts w:ascii="Arial" w:cs="Arial" w:eastAsia="Arial" w:hAnsi="Arial"/>
                <w:sz w:val="18"/>
                <w:szCs w:val="18"/>
                <w:color w:val="auto"/>
              </w:rPr>
              <w:t>Adjustments to reconcile net (loss) income to net cash provided by (required for)</w:t>
            </w:r>
          </w:p>
        </w:tc>
        <w:tc>
          <w:tcPr>
            <w:tcW w:w="1600" w:type="dxa"/>
            <w:vAlign w:val="bottom"/>
            <w:shd w:val="clear" w:color="auto" w:fill="CCEDFF"/>
          </w:tcPr>
          <w:p>
            <w:pPr>
              <w:spacing w:after="0"/>
              <w:rPr>
                <w:sz w:val="15"/>
                <w:szCs w:val="15"/>
                <w:color w:val="auto"/>
              </w:rPr>
            </w:pPr>
          </w:p>
        </w:tc>
        <w:tc>
          <w:tcPr>
            <w:tcW w:w="1580" w:type="dxa"/>
            <w:vAlign w:val="bottom"/>
            <w:shd w:val="clear" w:color="auto" w:fill="CCEDFF"/>
          </w:tcPr>
          <w:p>
            <w:pPr>
              <w:spacing w:after="0"/>
              <w:rPr>
                <w:sz w:val="15"/>
                <w:szCs w:val="15"/>
                <w:color w:val="auto"/>
              </w:rPr>
            </w:pPr>
          </w:p>
        </w:tc>
        <w:tc>
          <w:tcPr>
            <w:tcW w:w="1140" w:type="dxa"/>
            <w:vAlign w:val="bottom"/>
            <w:shd w:val="clear" w:color="auto" w:fill="CCED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920" w:type="dxa"/>
            <w:vAlign w:val="bottom"/>
            <w:shd w:val="clear" w:color="auto" w:fill="CCEDFF"/>
          </w:tcPr>
          <w:p>
            <w:pPr>
              <w:ind w:left="20"/>
              <w:spacing w:after="0"/>
              <w:rPr>
                <w:sz w:val="20"/>
                <w:szCs w:val="20"/>
                <w:color w:val="auto"/>
              </w:rPr>
            </w:pPr>
            <w:r>
              <w:rPr>
                <w:rFonts w:ascii="Arial" w:cs="Arial" w:eastAsia="Arial" w:hAnsi="Arial"/>
                <w:sz w:val="18"/>
                <w:szCs w:val="18"/>
                <w:color w:val="auto"/>
              </w:rPr>
              <w:t>operating activities:</w:t>
            </w:r>
          </w:p>
        </w:tc>
        <w:tc>
          <w:tcPr>
            <w:tcW w:w="1600" w:type="dxa"/>
            <w:vAlign w:val="bottom"/>
            <w:shd w:val="clear" w:color="auto" w:fill="CCEDFF"/>
          </w:tcPr>
          <w:p>
            <w:pPr>
              <w:spacing w:after="0"/>
              <w:rPr>
                <w:sz w:val="21"/>
                <w:szCs w:val="21"/>
                <w:color w:val="auto"/>
              </w:rPr>
            </w:pPr>
          </w:p>
        </w:tc>
        <w:tc>
          <w:tcPr>
            <w:tcW w:w="1580" w:type="dxa"/>
            <w:vAlign w:val="bottom"/>
            <w:shd w:val="clear" w:color="auto" w:fill="CCEDFF"/>
          </w:tcPr>
          <w:p>
            <w:pPr>
              <w:spacing w:after="0"/>
              <w:rPr>
                <w:sz w:val="21"/>
                <w:szCs w:val="21"/>
                <w:color w:val="auto"/>
              </w:rPr>
            </w:pPr>
          </w:p>
        </w:tc>
        <w:tc>
          <w:tcPr>
            <w:tcW w:w="1140" w:type="dxa"/>
            <w:vAlign w:val="bottom"/>
            <w:shd w:val="clear" w:color="auto" w:fill="CCED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92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600" w:type="dxa"/>
            <w:vAlign w:val="bottom"/>
          </w:tcPr>
          <w:p>
            <w:pPr>
              <w:jc w:val="right"/>
              <w:ind w:right="430"/>
              <w:spacing w:after="0"/>
              <w:rPr>
                <w:sz w:val="20"/>
                <w:szCs w:val="20"/>
                <w:color w:val="auto"/>
              </w:rPr>
            </w:pPr>
            <w:r>
              <w:rPr>
                <w:rFonts w:ascii="Arial" w:cs="Arial" w:eastAsia="Arial" w:hAnsi="Arial"/>
                <w:sz w:val="18"/>
                <w:szCs w:val="18"/>
                <w:color w:val="auto"/>
              </w:rPr>
              <w:t>27,616</w:t>
            </w:r>
          </w:p>
        </w:tc>
        <w:tc>
          <w:tcPr>
            <w:tcW w:w="1580" w:type="dxa"/>
            <w:vAlign w:val="bottom"/>
          </w:tcPr>
          <w:p>
            <w:pPr>
              <w:jc w:val="right"/>
              <w:ind w:right="430"/>
              <w:spacing w:after="0"/>
              <w:rPr>
                <w:sz w:val="20"/>
                <w:szCs w:val="20"/>
                <w:color w:val="auto"/>
              </w:rPr>
            </w:pPr>
            <w:r>
              <w:rPr>
                <w:rFonts w:ascii="Arial" w:cs="Arial" w:eastAsia="Arial" w:hAnsi="Arial"/>
                <w:sz w:val="18"/>
                <w:szCs w:val="18"/>
                <w:color w:val="auto"/>
              </w:rPr>
              <w:t>30,621</w:t>
            </w:r>
          </w:p>
        </w:tc>
        <w:tc>
          <w:tcPr>
            <w:tcW w:w="1140" w:type="dxa"/>
            <w:vAlign w:val="bottom"/>
          </w:tcPr>
          <w:p>
            <w:pPr>
              <w:jc w:val="right"/>
              <w:spacing w:after="0"/>
              <w:rPr>
                <w:sz w:val="20"/>
                <w:szCs w:val="20"/>
                <w:color w:val="auto"/>
              </w:rPr>
            </w:pPr>
            <w:r>
              <w:rPr>
                <w:rFonts w:ascii="Arial" w:cs="Arial" w:eastAsia="Arial" w:hAnsi="Arial"/>
                <w:sz w:val="18"/>
                <w:szCs w:val="18"/>
                <w:color w:val="auto"/>
              </w:rPr>
              <w:t>36,544</w:t>
            </w:r>
          </w:p>
        </w:tc>
        <w:tc>
          <w:tcPr>
            <w:tcW w:w="0" w:type="dxa"/>
            <w:vAlign w:val="bottom"/>
          </w:tcPr>
          <w:p>
            <w:pPr>
              <w:spacing w:after="0"/>
              <w:rPr>
                <w:sz w:val="1"/>
                <w:szCs w:val="1"/>
                <w:color w:val="auto"/>
              </w:rPr>
            </w:pPr>
          </w:p>
        </w:tc>
      </w:tr>
      <w:tr>
        <w:trPr>
          <w:trHeight w:val="229"/>
        </w:trPr>
        <w:tc>
          <w:tcPr>
            <w:tcW w:w="6920" w:type="dxa"/>
            <w:vAlign w:val="bottom"/>
            <w:shd w:val="clear" w:color="auto" w:fill="CCEDFF"/>
          </w:tcPr>
          <w:p>
            <w:pPr>
              <w:ind w:left="140"/>
              <w:spacing w:after="0"/>
              <w:rPr>
                <w:sz w:val="20"/>
                <w:szCs w:val="20"/>
                <w:color w:val="auto"/>
              </w:rPr>
            </w:pPr>
            <w:r>
              <w:rPr>
                <w:rFonts w:ascii="Arial" w:cs="Arial" w:eastAsia="Arial" w:hAnsi="Arial"/>
                <w:sz w:val="18"/>
                <w:szCs w:val="18"/>
                <w:color w:val="auto"/>
              </w:rPr>
              <w:t>Bad debt expense</w:t>
            </w:r>
          </w:p>
        </w:tc>
        <w:tc>
          <w:tcPr>
            <w:tcW w:w="1600" w:type="dxa"/>
            <w:vAlign w:val="bottom"/>
            <w:shd w:val="clear" w:color="auto" w:fill="CCEDFF"/>
          </w:tcPr>
          <w:p>
            <w:pPr>
              <w:jc w:val="right"/>
              <w:ind w:right="430"/>
              <w:spacing w:after="0"/>
              <w:rPr>
                <w:sz w:val="20"/>
                <w:szCs w:val="20"/>
                <w:color w:val="auto"/>
              </w:rPr>
            </w:pPr>
            <w:r>
              <w:rPr>
                <w:rFonts w:ascii="Arial" w:cs="Arial" w:eastAsia="Arial" w:hAnsi="Arial"/>
                <w:sz w:val="18"/>
                <w:szCs w:val="18"/>
                <w:color w:val="auto"/>
              </w:rPr>
              <w:t>13,633</w:t>
            </w:r>
          </w:p>
        </w:tc>
        <w:tc>
          <w:tcPr>
            <w:tcW w:w="1580" w:type="dxa"/>
            <w:vAlign w:val="bottom"/>
            <w:shd w:val="clear" w:color="auto" w:fill="CCEDFF"/>
          </w:tcPr>
          <w:p>
            <w:pPr>
              <w:jc w:val="right"/>
              <w:ind w:right="430"/>
              <w:spacing w:after="0"/>
              <w:rPr>
                <w:sz w:val="20"/>
                <w:szCs w:val="20"/>
                <w:color w:val="auto"/>
              </w:rPr>
            </w:pPr>
            <w:r>
              <w:rPr>
                <w:rFonts w:ascii="Arial" w:cs="Arial" w:eastAsia="Arial" w:hAnsi="Arial"/>
                <w:sz w:val="18"/>
                <w:szCs w:val="18"/>
                <w:color w:val="auto"/>
              </w:rPr>
              <w:t>6,942</w:t>
            </w:r>
          </w:p>
        </w:tc>
        <w:tc>
          <w:tcPr>
            <w:tcW w:w="1140" w:type="dxa"/>
            <w:vAlign w:val="bottom"/>
            <w:shd w:val="clear" w:color="auto" w:fill="CCEDFF"/>
          </w:tcPr>
          <w:p>
            <w:pPr>
              <w:jc w:val="right"/>
              <w:spacing w:after="0"/>
              <w:rPr>
                <w:sz w:val="20"/>
                <w:szCs w:val="20"/>
                <w:color w:val="auto"/>
              </w:rPr>
            </w:pPr>
            <w:r>
              <w:rPr>
                <w:rFonts w:ascii="Arial" w:cs="Arial" w:eastAsia="Arial" w:hAnsi="Arial"/>
                <w:sz w:val="18"/>
                <w:szCs w:val="18"/>
                <w:color w:val="auto"/>
              </w:rPr>
              <w:t>5,190</w:t>
            </w:r>
          </w:p>
        </w:tc>
        <w:tc>
          <w:tcPr>
            <w:tcW w:w="0" w:type="dxa"/>
            <w:vAlign w:val="bottom"/>
          </w:tcPr>
          <w:p>
            <w:pPr>
              <w:spacing w:after="0"/>
              <w:rPr>
                <w:sz w:val="1"/>
                <w:szCs w:val="1"/>
                <w:color w:val="auto"/>
              </w:rPr>
            </w:pPr>
          </w:p>
        </w:tc>
      </w:tr>
      <w:tr>
        <w:trPr>
          <w:trHeight w:val="230"/>
        </w:trPr>
        <w:tc>
          <w:tcPr>
            <w:tcW w:w="6920" w:type="dxa"/>
            <w:vAlign w:val="bottom"/>
          </w:tcPr>
          <w:p>
            <w:pPr>
              <w:ind w:left="140"/>
              <w:spacing w:after="0"/>
              <w:rPr>
                <w:sz w:val="20"/>
                <w:szCs w:val="20"/>
                <w:color w:val="auto"/>
              </w:rPr>
            </w:pPr>
            <w:r>
              <w:rPr>
                <w:rFonts w:ascii="Arial" w:cs="Arial" w:eastAsia="Arial" w:hAnsi="Arial"/>
                <w:sz w:val="18"/>
                <w:szCs w:val="18"/>
                <w:color w:val="auto"/>
              </w:rPr>
              <w:t>Curtailment/Settlement gain</w:t>
            </w:r>
          </w:p>
        </w:tc>
        <w:tc>
          <w:tcPr>
            <w:tcW w:w="1600" w:type="dxa"/>
            <w:vAlign w:val="bottom"/>
          </w:tcPr>
          <w:p>
            <w:pPr>
              <w:jc w:val="right"/>
              <w:ind w:right="370"/>
              <w:spacing w:after="0"/>
              <w:rPr>
                <w:sz w:val="20"/>
                <w:szCs w:val="20"/>
                <w:color w:val="auto"/>
              </w:rPr>
            </w:pPr>
            <w:r>
              <w:rPr>
                <w:rFonts w:ascii="Arial" w:cs="Arial" w:eastAsia="Arial" w:hAnsi="Arial"/>
                <w:sz w:val="18"/>
                <w:szCs w:val="18"/>
                <w:color w:val="auto"/>
              </w:rPr>
              <w:t>(3,593)</w:t>
            </w:r>
          </w:p>
        </w:tc>
        <w:tc>
          <w:tcPr>
            <w:tcW w:w="15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29"/>
        </w:trPr>
        <w:tc>
          <w:tcPr>
            <w:tcW w:w="6920" w:type="dxa"/>
            <w:vAlign w:val="bottom"/>
            <w:shd w:val="clear" w:color="auto" w:fill="CCEDFF"/>
          </w:tcPr>
          <w:p>
            <w:pPr>
              <w:ind w:left="140"/>
              <w:spacing w:after="0"/>
              <w:rPr>
                <w:sz w:val="20"/>
                <w:szCs w:val="20"/>
                <w:color w:val="auto"/>
              </w:rPr>
            </w:pPr>
            <w:r>
              <w:rPr>
                <w:rFonts w:ascii="Arial" w:cs="Arial" w:eastAsia="Arial" w:hAnsi="Arial"/>
                <w:sz w:val="18"/>
                <w:szCs w:val="18"/>
                <w:color w:val="auto"/>
              </w:rPr>
              <w:t>Pension withdrawal cost</w:t>
            </w:r>
          </w:p>
        </w:tc>
        <w:tc>
          <w:tcPr>
            <w:tcW w:w="1600" w:type="dxa"/>
            <w:vAlign w:val="bottom"/>
            <w:shd w:val="clear" w:color="auto" w:fill="CCEDFF"/>
          </w:tcPr>
          <w:p>
            <w:pPr>
              <w:jc w:val="right"/>
              <w:ind w:right="43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DFF"/>
          </w:tcPr>
          <w:p>
            <w:pPr>
              <w:jc w:val="right"/>
              <w:ind w:right="430"/>
              <w:spacing w:after="0"/>
              <w:rPr>
                <w:sz w:val="20"/>
                <w:szCs w:val="20"/>
                <w:color w:val="auto"/>
              </w:rPr>
            </w:pPr>
            <w:r>
              <w:rPr>
                <w:rFonts w:ascii="Arial" w:cs="Arial" w:eastAsia="Arial" w:hAnsi="Arial"/>
                <w:sz w:val="18"/>
                <w:szCs w:val="18"/>
                <w:color w:val="auto"/>
              </w:rPr>
              <w:t>1,200</w:t>
            </w:r>
          </w:p>
        </w:tc>
        <w:tc>
          <w:tcPr>
            <w:tcW w:w="1140" w:type="dxa"/>
            <w:vAlign w:val="bottom"/>
            <w:shd w:val="clear" w:color="auto" w:fill="CCEDFF"/>
          </w:tcPr>
          <w:p>
            <w:pPr>
              <w:jc w:val="right"/>
              <w:spacing w:after="0"/>
              <w:rPr>
                <w:sz w:val="20"/>
                <w:szCs w:val="20"/>
                <w:color w:val="auto"/>
              </w:rPr>
            </w:pPr>
            <w:r>
              <w:rPr>
                <w:rFonts w:ascii="Arial" w:cs="Arial" w:eastAsia="Arial" w:hAnsi="Arial"/>
                <w:sz w:val="18"/>
                <w:szCs w:val="18"/>
                <w:color w:val="auto"/>
              </w:rPr>
              <w:t>2,335</w:t>
            </w:r>
          </w:p>
        </w:tc>
        <w:tc>
          <w:tcPr>
            <w:tcW w:w="0" w:type="dxa"/>
            <w:vAlign w:val="bottom"/>
          </w:tcPr>
          <w:p>
            <w:pPr>
              <w:spacing w:after="0"/>
              <w:rPr>
                <w:sz w:val="1"/>
                <w:szCs w:val="1"/>
                <w:color w:val="auto"/>
              </w:rPr>
            </w:pPr>
          </w:p>
        </w:tc>
      </w:tr>
      <w:tr>
        <w:trPr>
          <w:trHeight w:val="229"/>
        </w:trPr>
        <w:tc>
          <w:tcPr>
            <w:tcW w:w="6920" w:type="dxa"/>
            <w:vAlign w:val="bottom"/>
          </w:tcPr>
          <w:p>
            <w:pPr>
              <w:ind w:left="140"/>
              <w:spacing w:after="0"/>
              <w:rPr>
                <w:sz w:val="20"/>
                <w:szCs w:val="20"/>
                <w:color w:val="auto"/>
              </w:rPr>
            </w:pPr>
            <w:r>
              <w:rPr>
                <w:rFonts w:ascii="Arial" w:cs="Arial" w:eastAsia="Arial" w:hAnsi="Arial"/>
                <w:sz w:val="18"/>
                <w:szCs w:val="18"/>
                <w:color w:val="auto"/>
              </w:rPr>
              <w:t>Stock compensation expense</w:t>
            </w:r>
          </w:p>
        </w:tc>
        <w:tc>
          <w:tcPr>
            <w:tcW w:w="1600" w:type="dxa"/>
            <w:vAlign w:val="bottom"/>
          </w:tcPr>
          <w:p>
            <w:pPr>
              <w:jc w:val="right"/>
              <w:ind w:right="430"/>
              <w:spacing w:after="0"/>
              <w:rPr>
                <w:sz w:val="20"/>
                <w:szCs w:val="20"/>
                <w:color w:val="auto"/>
              </w:rPr>
            </w:pPr>
            <w:r>
              <w:rPr>
                <w:rFonts w:ascii="Arial" w:cs="Arial" w:eastAsia="Arial" w:hAnsi="Arial"/>
                <w:sz w:val="18"/>
                <w:szCs w:val="18"/>
                <w:color w:val="auto"/>
              </w:rPr>
              <w:t>1,751</w:t>
            </w:r>
          </w:p>
        </w:tc>
        <w:tc>
          <w:tcPr>
            <w:tcW w:w="1580" w:type="dxa"/>
            <w:vAlign w:val="bottom"/>
          </w:tcPr>
          <w:p>
            <w:pPr>
              <w:jc w:val="right"/>
              <w:ind w:right="430"/>
              <w:spacing w:after="0"/>
              <w:rPr>
                <w:sz w:val="20"/>
                <w:szCs w:val="20"/>
                <w:color w:val="auto"/>
              </w:rPr>
            </w:pPr>
            <w:r>
              <w:rPr>
                <w:rFonts w:ascii="Arial" w:cs="Arial" w:eastAsia="Arial" w:hAnsi="Arial"/>
                <w:sz w:val="18"/>
                <w:szCs w:val="18"/>
                <w:color w:val="auto"/>
              </w:rPr>
              <w:t>1,806</w:t>
            </w:r>
          </w:p>
        </w:tc>
        <w:tc>
          <w:tcPr>
            <w:tcW w:w="1140" w:type="dxa"/>
            <w:vAlign w:val="bottom"/>
          </w:tcPr>
          <w:p>
            <w:pPr>
              <w:jc w:val="right"/>
              <w:spacing w:after="0"/>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r>
        <w:trPr>
          <w:trHeight w:val="230"/>
        </w:trPr>
        <w:tc>
          <w:tcPr>
            <w:tcW w:w="6920" w:type="dxa"/>
            <w:vAlign w:val="bottom"/>
            <w:shd w:val="clear" w:color="auto" w:fill="CCEDFF"/>
          </w:tcPr>
          <w:p>
            <w:pPr>
              <w:ind w:left="140"/>
              <w:spacing w:after="0"/>
              <w:rPr>
                <w:sz w:val="20"/>
                <w:szCs w:val="20"/>
                <w:color w:val="auto"/>
              </w:rPr>
            </w:pPr>
            <w:r>
              <w:rPr>
                <w:rFonts w:ascii="Arial" w:cs="Arial" w:eastAsia="Arial" w:hAnsi="Arial"/>
                <w:sz w:val="18"/>
                <w:szCs w:val="18"/>
                <w:color w:val="auto"/>
              </w:rPr>
              <w:t>Asset loss on sales, impairments and other, net</w:t>
            </w:r>
          </w:p>
        </w:tc>
        <w:tc>
          <w:tcPr>
            <w:tcW w:w="1600" w:type="dxa"/>
            <w:vAlign w:val="bottom"/>
            <w:shd w:val="clear" w:color="auto" w:fill="CCEDFF"/>
          </w:tcPr>
          <w:p>
            <w:pPr>
              <w:jc w:val="right"/>
              <w:ind w:right="430"/>
              <w:spacing w:after="0"/>
              <w:rPr>
                <w:sz w:val="20"/>
                <w:szCs w:val="20"/>
                <w:color w:val="auto"/>
              </w:rPr>
            </w:pPr>
            <w:r>
              <w:rPr>
                <w:rFonts w:ascii="Arial" w:cs="Arial" w:eastAsia="Arial" w:hAnsi="Arial"/>
                <w:sz w:val="18"/>
                <w:szCs w:val="18"/>
                <w:color w:val="auto"/>
              </w:rPr>
              <w:t>11,193</w:t>
            </w:r>
          </w:p>
        </w:tc>
        <w:tc>
          <w:tcPr>
            <w:tcW w:w="1580" w:type="dxa"/>
            <w:vAlign w:val="bottom"/>
            <w:shd w:val="clear" w:color="auto" w:fill="CCEDFF"/>
          </w:tcPr>
          <w:p>
            <w:pPr>
              <w:jc w:val="right"/>
              <w:ind w:right="430"/>
              <w:spacing w:after="0"/>
              <w:rPr>
                <w:sz w:val="20"/>
                <w:szCs w:val="20"/>
                <w:color w:val="auto"/>
              </w:rPr>
            </w:pPr>
            <w:r>
              <w:rPr>
                <w:rFonts w:ascii="Arial" w:cs="Arial" w:eastAsia="Arial" w:hAnsi="Arial"/>
                <w:sz w:val="18"/>
                <w:szCs w:val="18"/>
                <w:color w:val="auto"/>
              </w:rPr>
              <w:t>1,882</w:t>
            </w:r>
          </w:p>
        </w:tc>
        <w:tc>
          <w:tcPr>
            <w:tcW w:w="1140" w:type="dxa"/>
            <w:vAlign w:val="bottom"/>
            <w:shd w:val="clear" w:color="auto" w:fill="CCEDFF"/>
          </w:tcPr>
          <w:p>
            <w:pPr>
              <w:jc w:val="right"/>
              <w:spacing w:after="0"/>
              <w:rPr>
                <w:sz w:val="20"/>
                <w:szCs w:val="20"/>
                <w:color w:val="auto"/>
              </w:rPr>
            </w:pPr>
            <w:r>
              <w:rPr>
                <w:rFonts w:ascii="Arial" w:cs="Arial" w:eastAsia="Arial" w:hAnsi="Arial"/>
                <w:sz w:val="18"/>
                <w:szCs w:val="18"/>
                <w:color w:val="auto"/>
              </w:rPr>
              <w:t>9,716</w:t>
            </w:r>
          </w:p>
        </w:tc>
        <w:tc>
          <w:tcPr>
            <w:tcW w:w="0" w:type="dxa"/>
            <w:vAlign w:val="bottom"/>
          </w:tcPr>
          <w:p>
            <w:pPr>
              <w:spacing w:after="0"/>
              <w:rPr>
                <w:sz w:val="1"/>
                <w:szCs w:val="1"/>
                <w:color w:val="auto"/>
              </w:rPr>
            </w:pPr>
          </w:p>
        </w:tc>
      </w:tr>
      <w:tr>
        <w:trPr>
          <w:trHeight w:val="229"/>
        </w:trPr>
        <w:tc>
          <w:tcPr>
            <w:tcW w:w="6920" w:type="dxa"/>
            <w:vAlign w:val="bottom"/>
          </w:tcPr>
          <w:p>
            <w:pPr>
              <w:ind w:left="140"/>
              <w:spacing w:after="0"/>
              <w:rPr>
                <w:sz w:val="20"/>
                <w:szCs w:val="20"/>
                <w:color w:val="auto"/>
              </w:rPr>
            </w:pPr>
            <w:r>
              <w:rPr>
                <w:rFonts w:ascii="Arial" w:cs="Arial" w:eastAsia="Arial" w:hAnsi="Arial"/>
                <w:sz w:val="18"/>
                <w:szCs w:val="18"/>
                <w:color w:val="auto"/>
              </w:rPr>
              <w:t>Earnings, net of distributions, deemed returns on investment of TNI and MNI</w:t>
            </w:r>
          </w:p>
        </w:tc>
        <w:tc>
          <w:tcPr>
            <w:tcW w:w="1600" w:type="dxa"/>
            <w:vAlign w:val="bottom"/>
          </w:tcPr>
          <w:p>
            <w:pPr>
              <w:jc w:val="right"/>
              <w:ind w:right="370"/>
              <w:spacing w:after="0"/>
              <w:rPr>
                <w:sz w:val="20"/>
                <w:szCs w:val="20"/>
                <w:color w:val="auto"/>
              </w:rPr>
            </w:pPr>
            <w:r>
              <w:rPr>
                <w:rFonts w:ascii="Arial" w:cs="Arial" w:eastAsia="Arial" w:hAnsi="Arial"/>
                <w:sz w:val="18"/>
                <w:szCs w:val="18"/>
                <w:color w:val="auto"/>
              </w:rPr>
              <w:t>(122)</w:t>
            </w:r>
          </w:p>
        </w:tc>
        <w:tc>
          <w:tcPr>
            <w:tcW w:w="1580" w:type="dxa"/>
            <w:vAlign w:val="bottom"/>
          </w:tcPr>
          <w:p>
            <w:pPr>
              <w:jc w:val="right"/>
              <w:ind w:right="370"/>
              <w:spacing w:after="0"/>
              <w:rPr>
                <w:sz w:val="20"/>
                <w:szCs w:val="20"/>
                <w:color w:val="auto"/>
              </w:rPr>
            </w:pPr>
            <w:r>
              <w:rPr>
                <w:rFonts w:ascii="Arial" w:cs="Arial" w:eastAsia="Arial" w:hAnsi="Arial"/>
                <w:sz w:val="18"/>
                <w:szCs w:val="18"/>
                <w:color w:val="auto"/>
              </w:rPr>
              <w:t>(657)</w:t>
            </w:r>
          </w:p>
        </w:tc>
        <w:tc>
          <w:tcPr>
            <w:tcW w:w="1140" w:type="dxa"/>
            <w:vAlign w:val="bottom"/>
          </w:tcPr>
          <w:p>
            <w:pPr>
              <w:jc w:val="right"/>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30"/>
        </w:trPr>
        <w:tc>
          <w:tcPr>
            <w:tcW w:w="6920" w:type="dxa"/>
            <w:vAlign w:val="bottom"/>
            <w:shd w:val="clear" w:color="auto" w:fill="CCEDFF"/>
          </w:tcPr>
          <w:p>
            <w:pPr>
              <w:ind w:left="140"/>
              <w:spacing w:after="0"/>
              <w:rPr>
                <w:sz w:val="20"/>
                <w:szCs w:val="20"/>
                <w:color w:val="auto"/>
              </w:rPr>
            </w:pPr>
            <w:r>
              <w:rPr>
                <w:rFonts w:ascii="Arial" w:cs="Arial" w:eastAsia="Arial" w:hAnsi="Arial"/>
                <w:sz w:val="18"/>
                <w:szCs w:val="18"/>
                <w:color w:val="auto"/>
              </w:rPr>
              <w:t>Gain on sale of investment</w:t>
            </w:r>
          </w:p>
        </w:tc>
        <w:tc>
          <w:tcPr>
            <w:tcW w:w="1600" w:type="dxa"/>
            <w:vAlign w:val="bottom"/>
            <w:shd w:val="clear" w:color="auto" w:fill="CCEDFF"/>
          </w:tcPr>
          <w:p>
            <w:pPr>
              <w:jc w:val="right"/>
              <w:ind w:right="43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DFF"/>
          </w:tcPr>
          <w:p>
            <w:pPr>
              <w:jc w:val="right"/>
              <w:ind w:right="370"/>
              <w:spacing w:after="0"/>
              <w:rPr>
                <w:sz w:val="20"/>
                <w:szCs w:val="20"/>
                <w:color w:val="auto"/>
              </w:rPr>
            </w:pPr>
            <w:r>
              <w:rPr>
                <w:rFonts w:ascii="Arial" w:cs="Arial" w:eastAsia="Arial" w:hAnsi="Arial"/>
                <w:sz w:val="18"/>
                <w:szCs w:val="18"/>
                <w:color w:val="auto"/>
              </w:rPr>
              <w:t>(1,736)</w:t>
            </w:r>
          </w:p>
        </w:tc>
        <w:tc>
          <w:tcPr>
            <w:tcW w:w="1140" w:type="dxa"/>
            <w:vAlign w:val="bottom"/>
            <w:shd w:val="clear" w:color="auto" w:fill="CCED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92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1600" w:type="dxa"/>
            <w:vAlign w:val="bottom"/>
          </w:tcPr>
          <w:p>
            <w:pPr>
              <w:jc w:val="right"/>
              <w:ind w:right="370"/>
              <w:spacing w:after="0"/>
              <w:rPr>
                <w:sz w:val="20"/>
                <w:szCs w:val="20"/>
                <w:color w:val="auto"/>
              </w:rPr>
            </w:pPr>
            <w:r>
              <w:rPr>
                <w:rFonts w:ascii="Arial" w:cs="Arial" w:eastAsia="Arial" w:hAnsi="Arial"/>
                <w:sz w:val="18"/>
                <w:szCs w:val="18"/>
                <w:color w:val="auto"/>
              </w:rPr>
              <w:t>(10,535)</w:t>
            </w:r>
          </w:p>
        </w:tc>
        <w:tc>
          <w:tcPr>
            <w:tcW w:w="1580" w:type="dxa"/>
            <w:vAlign w:val="bottom"/>
          </w:tcPr>
          <w:p>
            <w:pPr>
              <w:jc w:val="right"/>
              <w:ind w:right="370"/>
              <w:spacing w:after="0"/>
              <w:rPr>
                <w:sz w:val="20"/>
                <w:szCs w:val="20"/>
                <w:color w:val="auto"/>
              </w:rPr>
            </w:pPr>
            <w:r>
              <w:rPr>
                <w:rFonts w:ascii="Arial" w:cs="Arial" w:eastAsia="Arial" w:hAnsi="Arial"/>
                <w:sz w:val="18"/>
                <w:szCs w:val="18"/>
                <w:color w:val="auto"/>
              </w:rPr>
              <w:t>(4,542)</w:t>
            </w:r>
          </w:p>
        </w:tc>
        <w:tc>
          <w:tcPr>
            <w:tcW w:w="1140" w:type="dxa"/>
            <w:vAlign w:val="bottom"/>
          </w:tcPr>
          <w:p>
            <w:pPr>
              <w:jc w:val="right"/>
              <w:spacing w:after="0"/>
              <w:rPr>
                <w:sz w:val="20"/>
                <w:szCs w:val="20"/>
                <w:color w:val="auto"/>
              </w:rPr>
            </w:pPr>
            <w:r>
              <w:rPr>
                <w:rFonts w:ascii="Arial" w:cs="Arial" w:eastAsia="Arial" w:hAnsi="Arial"/>
                <w:sz w:val="18"/>
                <w:szCs w:val="18"/>
                <w:color w:val="auto"/>
              </w:rPr>
              <w:t>(4,377)</w:t>
            </w:r>
          </w:p>
        </w:tc>
        <w:tc>
          <w:tcPr>
            <w:tcW w:w="0" w:type="dxa"/>
            <w:vAlign w:val="bottom"/>
          </w:tcPr>
          <w:p>
            <w:pPr>
              <w:spacing w:after="0"/>
              <w:rPr>
                <w:sz w:val="1"/>
                <w:szCs w:val="1"/>
                <w:color w:val="auto"/>
              </w:rPr>
            </w:pPr>
          </w:p>
        </w:tc>
      </w:tr>
      <w:tr>
        <w:trPr>
          <w:trHeight w:val="229"/>
        </w:trPr>
        <w:tc>
          <w:tcPr>
            <w:tcW w:w="6920" w:type="dxa"/>
            <w:vAlign w:val="bottom"/>
            <w:shd w:val="clear" w:color="auto" w:fill="CCEDFF"/>
          </w:tcPr>
          <w:p>
            <w:pPr>
              <w:ind w:left="140"/>
              <w:spacing w:after="0"/>
              <w:rPr>
                <w:sz w:val="20"/>
                <w:szCs w:val="20"/>
                <w:color w:val="auto"/>
              </w:rPr>
            </w:pPr>
            <w:r>
              <w:rPr>
                <w:rFonts w:ascii="Arial" w:cs="Arial" w:eastAsia="Arial" w:hAnsi="Arial"/>
                <w:sz w:val="18"/>
                <w:szCs w:val="18"/>
                <w:color w:val="auto"/>
              </w:rPr>
              <w:t>Pension contributions</w:t>
            </w:r>
          </w:p>
        </w:tc>
        <w:tc>
          <w:tcPr>
            <w:tcW w:w="1600" w:type="dxa"/>
            <w:vAlign w:val="bottom"/>
            <w:shd w:val="clear" w:color="auto" w:fill="CCEDFF"/>
          </w:tcPr>
          <w:p>
            <w:pPr>
              <w:jc w:val="right"/>
              <w:ind w:right="43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DFF"/>
          </w:tcPr>
          <w:p>
            <w:pPr>
              <w:jc w:val="right"/>
              <w:ind w:right="4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D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6920" w:type="dxa"/>
            <w:vAlign w:val="bottom"/>
          </w:tcPr>
          <w:p>
            <w:pPr>
              <w:ind w:left="140"/>
              <w:spacing w:after="0"/>
              <w:rPr>
                <w:sz w:val="20"/>
                <w:szCs w:val="20"/>
                <w:color w:val="auto"/>
              </w:rPr>
            </w:pPr>
            <w:r>
              <w:rPr>
                <w:rFonts w:ascii="Arial" w:cs="Arial" w:eastAsia="Arial" w:hAnsi="Arial"/>
                <w:sz w:val="18"/>
                <w:szCs w:val="18"/>
                <w:color w:val="auto"/>
              </w:rPr>
              <w:t>Other, net</w:t>
            </w:r>
          </w:p>
        </w:tc>
        <w:tc>
          <w:tcPr>
            <w:tcW w:w="1600" w:type="dxa"/>
            <w:vAlign w:val="bottom"/>
          </w:tcPr>
          <w:p>
            <w:pPr>
              <w:jc w:val="right"/>
              <w:ind w:right="370"/>
              <w:spacing w:after="0"/>
              <w:rPr>
                <w:sz w:val="20"/>
                <w:szCs w:val="20"/>
                <w:color w:val="auto"/>
              </w:rPr>
            </w:pPr>
            <w:r>
              <w:rPr>
                <w:rFonts w:ascii="Arial" w:cs="Arial" w:eastAsia="Arial" w:hAnsi="Arial"/>
                <w:sz w:val="18"/>
                <w:szCs w:val="18"/>
                <w:color w:val="auto"/>
              </w:rPr>
              <w:t>(1,287)</w:t>
            </w:r>
          </w:p>
        </w:tc>
        <w:tc>
          <w:tcPr>
            <w:tcW w:w="1580" w:type="dxa"/>
            <w:vAlign w:val="bottom"/>
          </w:tcPr>
          <w:p>
            <w:pPr>
              <w:jc w:val="right"/>
              <w:ind w:right="370"/>
              <w:spacing w:after="0"/>
              <w:rPr>
                <w:sz w:val="20"/>
                <w:szCs w:val="20"/>
                <w:color w:val="auto"/>
              </w:rPr>
            </w:pPr>
            <w:r>
              <w:rPr>
                <w:rFonts w:ascii="Arial" w:cs="Arial" w:eastAsia="Arial" w:hAnsi="Arial"/>
                <w:sz w:val="18"/>
                <w:szCs w:val="18"/>
                <w:color w:val="auto"/>
              </w:rPr>
              <w:t>(2,290)</w:t>
            </w:r>
          </w:p>
        </w:tc>
        <w:tc>
          <w:tcPr>
            <w:tcW w:w="1140" w:type="dxa"/>
            <w:vAlign w:val="bottom"/>
          </w:tcPr>
          <w:p>
            <w:pPr>
              <w:jc w:val="right"/>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29"/>
        </w:trPr>
        <w:tc>
          <w:tcPr>
            <w:tcW w:w="6920" w:type="dxa"/>
            <w:vAlign w:val="bottom"/>
            <w:shd w:val="clear" w:color="auto" w:fill="CCEDFF"/>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1600" w:type="dxa"/>
            <w:vAlign w:val="bottom"/>
            <w:shd w:val="clear" w:color="auto" w:fill="CCEDFF"/>
          </w:tcPr>
          <w:p>
            <w:pPr>
              <w:spacing w:after="0"/>
              <w:rPr>
                <w:sz w:val="19"/>
                <w:szCs w:val="19"/>
                <w:color w:val="auto"/>
              </w:rPr>
            </w:pPr>
          </w:p>
        </w:tc>
        <w:tc>
          <w:tcPr>
            <w:tcW w:w="1580" w:type="dxa"/>
            <w:vAlign w:val="bottom"/>
            <w:shd w:val="clear" w:color="auto" w:fill="CCEDFF"/>
          </w:tcPr>
          <w:p>
            <w:pPr>
              <w:spacing w:after="0"/>
              <w:rPr>
                <w:sz w:val="19"/>
                <w:szCs w:val="19"/>
                <w:color w:val="auto"/>
              </w:rPr>
            </w:pPr>
          </w:p>
        </w:tc>
        <w:tc>
          <w:tcPr>
            <w:tcW w:w="114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360"/>
              <w:spacing w:after="0"/>
              <w:rPr>
                <w:sz w:val="20"/>
                <w:szCs w:val="20"/>
                <w:color w:val="auto"/>
              </w:rPr>
            </w:pPr>
            <w:r>
              <w:rPr>
                <w:rFonts w:ascii="Arial" w:cs="Arial" w:eastAsia="Arial" w:hAnsi="Arial"/>
                <w:sz w:val="18"/>
                <w:szCs w:val="18"/>
                <w:color w:val="auto"/>
              </w:rPr>
              <w:t>Increase in receivables</w:t>
            </w:r>
          </w:p>
        </w:tc>
        <w:tc>
          <w:tcPr>
            <w:tcW w:w="1600" w:type="dxa"/>
            <w:vAlign w:val="bottom"/>
          </w:tcPr>
          <w:p>
            <w:pPr>
              <w:jc w:val="right"/>
              <w:ind w:right="370"/>
              <w:spacing w:after="0"/>
              <w:rPr>
                <w:sz w:val="20"/>
                <w:szCs w:val="20"/>
                <w:color w:val="auto"/>
              </w:rPr>
            </w:pPr>
            <w:r>
              <w:rPr>
                <w:rFonts w:ascii="Arial" w:cs="Arial" w:eastAsia="Arial" w:hAnsi="Arial"/>
                <w:sz w:val="18"/>
                <w:szCs w:val="18"/>
                <w:color w:val="auto"/>
              </w:rPr>
              <w:t>(5,494)</w:t>
            </w:r>
          </w:p>
        </w:tc>
        <w:tc>
          <w:tcPr>
            <w:tcW w:w="1580" w:type="dxa"/>
            <w:vAlign w:val="bottom"/>
          </w:tcPr>
          <w:p>
            <w:pPr>
              <w:jc w:val="right"/>
              <w:ind w:right="370"/>
              <w:spacing w:after="0"/>
              <w:rPr>
                <w:sz w:val="20"/>
                <w:szCs w:val="20"/>
                <w:color w:val="auto"/>
              </w:rPr>
            </w:pPr>
            <w:r>
              <w:rPr>
                <w:rFonts w:ascii="Arial" w:cs="Arial" w:eastAsia="Arial" w:hAnsi="Arial"/>
                <w:sz w:val="18"/>
                <w:szCs w:val="18"/>
                <w:color w:val="auto"/>
              </w:rPr>
              <w:t>(6,739)</w:t>
            </w:r>
          </w:p>
        </w:tc>
        <w:tc>
          <w:tcPr>
            <w:tcW w:w="1140" w:type="dxa"/>
            <w:vAlign w:val="bottom"/>
          </w:tcPr>
          <w:p>
            <w:pPr>
              <w:jc w:val="right"/>
              <w:spacing w:after="0"/>
              <w:rPr>
                <w:sz w:val="20"/>
                <w:szCs w:val="20"/>
                <w:color w:val="auto"/>
              </w:rPr>
            </w:pPr>
            <w:r>
              <w:rPr>
                <w:rFonts w:ascii="Arial" w:cs="Arial" w:eastAsia="Arial" w:hAnsi="Arial"/>
                <w:sz w:val="18"/>
                <w:szCs w:val="18"/>
                <w:color w:val="auto"/>
              </w:rPr>
              <w:t>(7,804)</w:t>
            </w:r>
          </w:p>
        </w:tc>
        <w:tc>
          <w:tcPr>
            <w:tcW w:w="0" w:type="dxa"/>
            <w:vAlign w:val="bottom"/>
          </w:tcPr>
          <w:p>
            <w:pPr>
              <w:spacing w:after="0"/>
              <w:rPr>
                <w:sz w:val="1"/>
                <w:szCs w:val="1"/>
                <w:color w:val="auto"/>
              </w:rPr>
            </w:pPr>
          </w:p>
        </w:tc>
      </w:tr>
      <w:tr>
        <w:trPr>
          <w:trHeight w:val="229"/>
        </w:trPr>
        <w:tc>
          <w:tcPr>
            <w:tcW w:w="6920" w:type="dxa"/>
            <w:vAlign w:val="bottom"/>
            <w:shd w:val="clear" w:color="auto" w:fill="CCEDFF"/>
          </w:tcPr>
          <w:p>
            <w:pPr>
              <w:ind w:left="360"/>
              <w:spacing w:after="0"/>
              <w:rPr>
                <w:sz w:val="20"/>
                <w:szCs w:val="20"/>
                <w:color w:val="auto"/>
              </w:rPr>
            </w:pPr>
            <w:r>
              <w:rPr>
                <w:rFonts w:ascii="Arial" w:cs="Arial" w:eastAsia="Arial" w:hAnsi="Arial"/>
                <w:sz w:val="18"/>
                <w:szCs w:val="18"/>
                <w:color w:val="auto"/>
              </w:rPr>
              <w:t>Decrease (increase) in inventories and other</w:t>
            </w:r>
          </w:p>
        </w:tc>
        <w:tc>
          <w:tcPr>
            <w:tcW w:w="1600" w:type="dxa"/>
            <w:vAlign w:val="bottom"/>
            <w:shd w:val="clear" w:color="auto" w:fill="CCEDFF"/>
          </w:tcPr>
          <w:p>
            <w:pPr>
              <w:jc w:val="right"/>
              <w:ind w:right="430"/>
              <w:spacing w:after="0"/>
              <w:rPr>
                <w:sz w:val="20"/>
                <w:szCs w:val="20"/>
                <w:color w:val="auto"/>
              </w:rPr>
            </w:pPr>
            <w:r>
              <w:rPr>
                <w:rFonts w:ascii="Arial" w:cs="Arial" w:eastAsia="Arial" w:hAnsi="Arial"/>
                <w:sz w:val="18"/>
                <w:szCs w:val="18"/>
                <w:color w:val="auto"/>
              </w:rPr>
              <w:t>901</w:t>
            </w:r>
          </w:p>
        </w:tc>
        <w:tc>
          <w:tcPr>
            <w:tcW w:w="1580" w:type="dxa"/>
            <w:vAlign w:val="bottom"/>
            <w:shd w:val="clear" w:color="auto" w:fill="CCEDFF"/>
          </w:tcPr>
          <w:p>
            <w:pPr>
              <w:jc w:val="right"/>
              <w:ind w:right="430"/>
              <w:spacing w:after="0"/>
              <w:rPr>
                <w:sz w:val="20"/>
                <w:szCs w:val="20"/>
                <w:color w:val="auto"/>
              </w:rPr>
            </w:pPr>
            <w:r>
              <w:rPr>
                <w:rFonts w:ascii="Arial" w:cs="Arial" w:eastAsia="Arial" w:hAnsi="Arial"/>
                <w:sz w:val="18"/>
                <w:szCs w:val="18"/>
                <w:color w:val="auto"/>
              </w:rPr>
              <w:t>977</w:t>
            </w:r>
          </w:p>
        </w:tc>
        <w:tc>
          <w:tcPr>
            <w:tcW w:w="1140" w:type="dxa"/>
            <w:vAlign w:val="bottom"/>
            <w:shd w:val="clear" w:color="auto" w:fill="CCEDFF"/>
          </w:tcPr>
          <w:p>
            <w:pPr>
              <w:jc w:val="right"/>
              <w:spacing w:after="0"/>
              <w:rPr>
                <w:sz w:val="20"/>
                <w:szCs w:val="20"/>
                <w:color w:val="auto"/>
              </w:rPr>
            </w:pPr>
            <w:r>
              <w:rPr>
                <w:rFonts w:ascii="Arial" w:cs="Arial" w:eastAsia="Arial" w:hAnsi="Arial"/>
                <w:sz w:val="18"/>
                <w:szCs w:val="18"/>
                <w:color w:val="auto"/>
              </w:rPr>
              <w:t>(3,088)</w:t>
            </w:r>
          </w:p>
        </w:tc>
        <w:tc>
          <w:tcPr>
            <w:tcW w:w="0" w:type="dxa"/>
            <w:vAlign w:val="bottom"/>
          </w:tcPr>
          <w:p>
            <w:pPr>
              <w:spacing w:after="0"/>
              <w:rPr>
                <w:sz w:val="1"/>
                <w:szCs w:val="1"/>
                <w:color w:val="auto"/>
              </w:rPr>
            </w:pPr>
          </w:p>
        </w:tc>
      </w:tr>
      <w:tr>
        <w:trPr>
          <w:trHeight w:val="175"/>
        </w:trPr>
        <w:tc>
          <w:tcPr>
            <w:tcW w:w="6920" w:type="dxa"/>
            <w:vAlign w:val="bottom"/>
          </w:tcPr>
          <w:p>
            <w:pPr>
              <w:ind w:left="360"/>
              <w:spacing w:after="0" w:line="176" w:lineRule="exact"/>
              <w:rPr>
                <w:sz w:val="20"/>
                <w:szCs w:val="20"/>
                <w:color w:val="auto"/>
              </w:rPr>
            </w:pPr>
            <w:r>
              <w:rPr>
                <w:rFonts w:ascii="Arial" w:cs="Arial" w:eastAsia="Arial" w:hAnsi="Arial"/>
                <w:sz w:val="18"/>
                <w:szCs w:val="18"/>
                <w:color w:val="auto"/>
              </w:rPr>
              <w:t>Decrease in accounts payable, unearned revenue, other accrued liabilities</w:t>
            </w:r>
          </w:p>
        </w:tc>
        <w:tc>
          <w:tcPr>
            <w:tcW w:w="1600" w:type="dxa"/>
            <w:vAlign w:val="bottom"/>
            <w:vMerge w:val="restart"/>
          </w:tcPr>
          <w:p>
            <w:pPr>
              <w:jc w:val="right"/>
              <w:ind w:right="370"/>
              <w:spacing w:after="0"/>
              <w:rPr>
                <w:sz w:val="20"/>
                <w:szCs w:val="20"/>
                <w:color w:val="auto"/>
              </w:rPr>
            </w:pPr>
            <w:r>
              <w:rPr>
                <w:rFonts w:ascii="Arial" w:cs="Arial" w:eastAsia="Arial" w:hAnsi="Arial"/>
                <w:sz w:val="18"/>
                <w:szCs w:val="18"/>
                <w:color w:val="auto"/>
              </w:rPr>
              <w:t>(5,026)</w:t>
            </w:r>
          </w:p>
        </w:tc>
        <w:tc>
          <w:tcPr>
            <w:tcW w:w="1580" w:type="dxa"/>
            <w:vAlign w:val="bottom"/>
            <w:vMerge w:val="restart"/>
          </w:tcPr>
          <w:p>
            <w:pPr>
              <w:jc w:val="right"/>
              <w:ind w:right="370"/>
              <w:spacing w:after="0"/>
              <w:rPr>
                <w:sz w:val="20"/>
                <w:szCs w:val="20"/>
                <w:color w:val="auto"/>
              </w:rPr>
            </w:pPr>
            <w:r>
              <w:rPr>
                <w:rFonts w:ascii="Arial" w:cs="Arial" w:eastAsia="Arial" w:hAnsi="Arial"/>
                <w:sz w:val="18"/>
                <w:szCs w:val="18"/>
                <w:color w:val="auto"/>
              </w:rPr>
              <w:t>(26,155)</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(14,645)</w:t>
            </w:r>
          </w:p>
        </w:tc>
        <w:tc>
          <w:tcPr>
            <w:tcW w:w="0" w:type="dxa"/>
            <w:vAlign w:val="bottom"/>
          </w:tcPr>
          <w:p>
            <w:pPr>
              <w:spacing w:after="0"/>
              <w:rPr>
                <w:sz w:val="1"/>
                <w:szCs w:val="1"/>
                <w:color w:val="auto"/>
              </w:rPr>
            </w:pPr>
          </w:p>
        </w:tc>
      </w:tr>
      <w:tr>
        <w:trPr>
          <w:trHeight w:val="243"/>
        </w:trPr>
        <w:tc>
          <w:tcPr>
            <w:tcW w:w="6920" w:type="dxa"/>
            <w:vAlign w:val="bottom"/>
          </w:tcPr>
          <w:p>
            <w:pPr>
              <w:ind w:left="360"/>
              <w:spacing w:after="0"/>
              <w:rPr>
                <w:sz w:val="20"/>
                <w:szCs w:val="20"/>
                <w:color w:val="auto"/>
              </w:rPr>
            </w:pPr>
            <w:r>
              <w:rPr>
                <w:rFonts w:ascii="Arial" w:cs="Arial" w:eastAsia="Arial" w:hAnsi="Arial"/>
                <w:sz w:val="18"/>
                <w:szCs w:val="18"/>
                <w:color w:val="auto"/>
              </w:rPr>
              <w:t>and operating lease obligations</w:t>
            </w:r>
          </w:p>
        </w:tc>
        <w:tc>
          <w:tcPr>
            <w:tcW w:w="1600" w:type="dxa"/>
            <w:vAlign w:val="bottom"/>
            <w:vMerge w:val="continue"/>
          </w:tcPr>
          <w:p>
            <w:pPr>
              <w:spacing w:after="0"/>
              <w:rPr>
                <w:sz w:val="21"/>
                <w:szCs w:val="21"/>
                <w:color w:val="auto"/>
              </w:rPr>
            </w:pPr>
          </w:p>
        </w:tc>
        <w:tc>
          <w:tcPr>
            <w:tcW w:w="1580" w:type="dxa"/>
            <w:vAlign w:val="bottom"/>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CEDFF"/>
          </w:tcPr>
          <w:p>
            <w:pPr>
              <w:ind w:left="360"/>
              <w:spacing w:after="0"/>
              <w:rPr>
                <w:sz w:val="20"/>
                <w:szCs w:val="20"/>
                <w:color w:val="auto"/>
              </w:rPr>
            </w:pPr>
            <w:r>
              <w:rPr>
                <w:rFonts w:ascii="Arial" w:cs="Arial" w:eastAsia="Arial" w:hAnsi="Arial"/>
                <w:sz w:val="18"/>
                <w:szCs w:val="18"/>
                <w:color w:val="auto"/>
              </w:rPr>
              <w:t>Decrease in pension, postretirement and postemployment benefit obligations</w:t>
            </w:r>
          </w:p>
        </w:tc>
        <w:tc>
          <w:tcPr>
            <w:tcW w:w="1600" w:type="dxa"/>
            <w:vAlign w:val="bottom"/>
            <w:shd w:val="clear" w:color="auto" w:fill="CCEDFF"/>
          </w:tcPr>
          <w:p>
            <w:pPr>
              <w:jc w:val="right"/>
              <w:ind w:right="370"/>
              <w:spacing w:after="0"/>
              <w:rPr>
                <w:sz w:val="20"/>
                <w:szCs w:val="20"/>
                <w:color w:val="auto"/>
              </w:rPr>
            </w:pPr>
            <w:r>
              <w:rPr>
                <w:rFonts w:ascii="Arial" w:cs="Arial" w:eastAsia="Arial" w:hAnsi="Arial"/>
                <w:sz w:val="18"/>
                <w:szCs w:val="18"/>
                <w:color w:val="auto"/>
              </w:rPr>
              <w:t>(2,422)</w:t>
            </w:r>
          </w:p>
        </w:tc>
        <w:tc>
          <w:tcPr>
            <w:tcW w:w="1580" w:type="dxa"/>
            <w:vAlign w:val="bottom"/>
            <w:shd w:val="clear" w:color="auto" w:fill="CCEDFF"/>
          </w:tcPr>
          <w:p>
            <w:pPr>
              <w:jc w:val="right"/>
              <w:ind w:right="370"/>
              <w:spacing w:after="0"/>
              <w:rPr>
                <w:sz w:val="20"/>
                <w:szCs w:val="20"/>
                <w:color w:val="auto"/>
              </w:rPr>
            </w:pPr>
            <w:r>
              <w:rPr>
                <w:rFonts w:ascii="Arial" w:cs="Arial" w:eastAsia="Arial" w:hAnsi="Arial"/>
                <w:sz w:val="18"/>
                <w:szCs w:val="18"/>
                <w:color w:val="auto"/>
              </w:rPr>
              <w:t>(83)</w:t>
            </w:r>
          </w:p>
        </w:tc>
        <w:tc>
          <w:tcPr>
            <w:tcW w:w="1140" w:type="dxa"/>
            <w:vAlign w:val="bottom"/>
            <w:shd w:val="clear" w:color="auto" w:fill="CCEDFF"/>
          </w:tcPr>
          <w:p>
            <w:pPr>
              <w:jc w:val="right"/>
              <w:spacing w:after="0"/>
              <w:rPr>
                <w:sz w:val="20"/>
                <w:szCs w:val="20"/>
                <w:color w:val="auto"/>
              </w:rPr>
            </w:pPr>
            <w:r>
              <w:rPr>
                <w:rFonts w:ascii="Arial" w:cs="Arial" w:eastAsia="Arial" w:hAnsi="Arial"/>
                <w:sz w:val="18"/>
                <w:szCs w:val="18"/>
                <w:color w:val="auto"/>
              </w:rPr>
              <w:t>(21,449)</w:t>
            </w:r>
          </w:p>
        </w:tc>
        <w:tc>
          <w:tcPr>
            <w:tcW w:w="0" w:type="dxa"/>
            <w:vAlign w:val="bottom"/>
          </w:tcPr>
          <w:p>
            <w:pPr>
              <w:spacing w:after="0"/>
              <w:rPr>
                <w:sz w:val="1"/>
                <w:szCs w:val="1"/>
                <w:color w:val="auto"/>
              </w:rPr>
            </w:pPr>
          </w:p>
        </w:tc>
      </w:tr>
      <w:tr>
        <w:trPr>
          <w:trHeight w:val="230"/>
        </w:trPr>
        <w:tc>
          <w:tcPr>
            <w:tcW w:w="6920" w:type="dxa"/>
            <w:vAlign w:val="bottom"/>
          </w:tcPr>
          <w:p>
            <w:pPr>
              <w:ind w:left="360"/>
              <w:spacing w:after="0"/>
              <w:rPr>
                <w:sz w:val="20"/>
                <w:szCs w:val="20"/>
                <w:color w:val="auto"/>
              </w:rPr>
            </w:pPr>
            <w:r>
              <w:rPr>
                <w:rFonts w:ascii="Arial" w:cs="Arial" w:eastAsia="Arial" w:hAnsi="Arial"/>
                <w:sz w:val="18"/>
                <w:szCs w:val="18"/>
                <w:color w:val="auto"/>
              </w:rPr>
              <w:t>Change in income taxes payable</w:t>
            </w:r>
          </w:p>
        </w:tc>
        <w:tc>
          <w:tcPr>
            <w:tcW w:w="1600" w:type="dxa"/>
            <w:vAlign w:val="bottom"/>
          </w:tcPr>
          <w:p>
            <w:pPr>
              <w:jc w:val="right"/>
              <w:ind w:right="370"/>
              <w:spacing w:after="0"/>
              <w:rPr>
                <w:sz w:val="20"/>
                <w:szCs w:val="20"/>
                <w:color w:val="auto"/>
              </w:rPr>
            </w:pPr>
            <w:r>
              <w:rPr>
                <w:rFonts w:ascii="Arial" w:cs="Arial" w:eastAsia="Arial" w:hAnsi="Arial"/>
                <w:sz w:val="18"/>
                <w:szCs w:val="18"/>
                <w:color w:val="auto"/>
              </w:rPr>
              <w:t>(2,352)</w:t>
            </w:r>
          </w:p>
        </w:tc>
        <w:tc>
          <w:tcPr>
            <w:tcW w:w="1580" w:type="dxa"/>
            <w:vAlign w:val="bottom"/>
          </w:tcPr>
          <w:p>
            <w:pPr>
              <w:jc w:val="right"/>
              <w:ind w:right="430"/>
              <w:spacing w:after="0"/>
              <w:rPr>
                <w:sz w:val="20"/>
                <w:szCs w:val="20"/>
                <w:color w:val="auto"/>
              </w:rPr>
            </w:pPr>
            <w:r>
              <w:rPr>
                <w:rFonts w:ascii="Arial" w:cs="Arial" w:eastAsia="Arial" w:hAnsi="Arial"/>
                <w:sz w:val="18"/>
                <w:szCs w:val="18"/>
                <w:color w:val="auto"/>
              </w:rPr>
              <w:t>345</w:t>
            </w:r>
          </w:p>
        </w:tc>
        <w:tc>
          <w:tcPr>
            <w:tcW w:w="1140" w:type="dxa"/>
            <w:vAlign w:val="bottom"/>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29"/>
        </w:trPr>
        <w:tc>
          <w:tcPr>
            <w:tcW w:w="6920" w:type="dxa"/>
            <w:vAlign w:val="bottom"/>
            <w:tcBorders>
              <w:bottom w:val="single" w:sz="8" w:color="auto"/>
            </w:tcBorders>
            <w:shd w:val="clear" w:color="auto" w:fill="CCEDFF"/>
          </w:tcPr>
          <w:p>
            <w:pPr>
              <w:ind w:left="360"/>
              <w:spacing w:after="0"/>
              <w:rPr>
                <w:sz w:val="20"/>
                <w:szCs w:val="20"/>
                <w:color w:val="auto"/>
              </w:rPr>
            </w:pPr>
            <w:r>
              <w:rPr>
                <w:rFonts w:ascii="Arial" w:cs="Arial" w:eastAsia="Arial" w:hAnsi="Arial"/>
                <w:sz w:val="18"/>
                <w:szCs w:val="18"/>
                <w:color w:val="auto"/>
              </w:rPr>
              <w:t>Other</w:t>
            </w:r>
          </w:p>
        </w:tc>
        <w:tc>
          <w:tcPr>
            <w:tcW w:w="1600" w:type="dxa"/>
            <w:vAlign w:val="bottom"/>
            <w:tcBorders>
              <w:bottom w:val="single" w:sz="8" w:color="auto"/>
            </w:tcBorders>
            <w:shd w:val="clear" w:color="auto" w:fill="CCEDFF"/>
          </w:tcPr>
          <w:p>
            <w:pPr>
              <w:jc w:val="right"/>
              <w:ind w:right="430"/>
              <w:spacing w:after="0"/>
              <w:rPr>
                <w:sz w:val="20"/>
                <w:szCs w:val="20"/>
                <w:color w:val="auto"/>
              </w:rPr>
            </w:pPr>
            <w:r>
              <w:rPr>
                <w:rFonts w:ascii="Arial" w:cs="Arial" w:eastAsia="Arial" w:hAnsi="Arial"/>
                <w:sz w:val="18"/>
                <w:szCs w:val="18"/>
                <w:color w:val="auto"/>
              </w:rPr>
              <w:t>427</w:t>
            </w:r>
          </w:p>
        </w:tc>
        <w:tc>
          <w:tcPr>
            <w:tcW w:w="1580" w:type="dxa"/>
            <w:vAlign w:val="bottom"/>
            <w:tcBorders>
              <w:bottom w:val="single" w:sz="8" w:color="auto"/>
            </w:tcBorders>
            <w:shd w:val="clear" w:color="auto" w:fill="CCEDFF"/>
          </w:tcPr>
          <w:p>
            <w:pPr>
              <w:jc w:val="right"/>
              <w:ind w:right="370"/>
              <w:spacing w:after="0"/>
              <w:rPr>
                <w:sz w:val="20"/>
                <w:szCs w:val="20"/>
                <w:color w:val="auto"/>
              </w:rPr>
            </w:pPr>
            <w:r>
              <w:rPr>
                <w:rFonts w:ascii="Arial" w:cs="Arial" w:eastAsia="Arial" w:hAnsi="Arial"/>
                <w:sz w:val="18"/>
                <w:szCs w:val="18"/>
                <w:color w:val="auto"/>
              </w:rPr>
              <w:t>(2,019)</w:t>
            </w:r>
          </w:p>
        </w:tc>
        <w:tc>
          <w:tcPr>
            <w:tcW w:w="114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2,963</w:t>
            </w:r>
          </w:p>
        </w:tc>
        <w:tc>
          <w:tcPr>
            <w:tcW w:w="0" w:type="dxa"/>
            <w:vAlign w:val="bottom"/>
          </w:tcPr>
          <w:p>
            <w:pPr>
              <w:spacing w:after="0"/>
              <w:rPr>
                <w:sz w:val="1"/>
                <w:szCs w:val="1"/>
                <w:color w:val="auto"/>
              </w:rPr>
            </w:pPr>
          </w:p>
        </w:tc>
      </w:tr>
      <w:tr>
        <w:trPr>
          <w:trHeight w:val="223"/>
        </w:trPr>
        <w:tc>
          <w:tcPr>
            <w:tcW w:w="6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cash provided by (required for) operating activities</w:t>
            </w:r>
          </w:p>
        </w:tc>
        <w:tc>
          <w:tcPr>
            <w:tcW w:w="16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1,117</w:t>
            </w:r>
          </w:p>
        </w:tc>
        <w:tc>
          <w:tcPr>
            <w:tcW w:w="1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(3,181)</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2,853</w:t>
            </w:r>
          </w:p>
        </w:tc>
        <w:tc>
          <w:tcPr>
            <w:tcW w:w="0" w:type="dxa"/>
            <w:vAlign w:val="bottom"/>
          </w:tcPr>
          <w:p>
            <w:pPr>
              <w:spacing w:after="0"/>
              <w:rPr>
                <w:sz w:val="1"/>
                <w:szCs w:val="1"/>
                <w:color w:val="auto"/>
              </w:rPr>
            </w:pPr>
          </w:p>
        </w:tc>
      </w:tr>
      <w:tr>
        <w:trPr>
          <w:trHeight w:val="223"/>
        </w:trPr>
        <w:tc>
          <w:tcPr>
            <w:tcW w:w="6920" w:type="dxa"/>
            <w:vAlign w:val="bottom"/>
            <w:shd w:val="clear" w:color="auto" w:fill="CCEDFF"/>
          </w:tcPr>
          <w:p>
            <w:pPr>
              <w:ind w:left="20"/>
              <w:spacing w:after="0"/>
              <w:rPr>
                <w:sz w:val="20"/>
                <w:szCs w:val="20"/>
                <w:color w:val="auto"/>
              </w:rPr>
            </w:pPr>
            <w:r>
              <w:rPr>
                <w:rFonts w:ascii="Arial" w:cs="Arial" w:eastAsia="Arial" w:hAnsi="Arial"/>
                <w:sz w:val="18"/>
                <w:szCs w:val="18"/>
                <w:color w:val="auto"/>
              </w:rPr>
              <w:t>Cash provided by investing activities:</w:t>
            </w:r>
          </w:p>
        </w:tc>
        <w:tc>
          <w:tcPr>
            <w:tcW w:w="1600" w:type="dxa"/>
            <w:vAlign w:val="bottom"/>
            <w:shd w:val="clear" w:color="auto" w:fill="CCEDFF"/>
          </w:tcPr>
          <w:p>
            <w:pPr>
              <w:spacing w:after="0"/>
              <w:rPr>
                <w:sz w:val="19"/>
                <w:szCs w:val="19"/>
                <w:color w:val="auto"/>
              </w:rPr>
            </w:pPr>
          </w:p>
        </w:tc>
        <w:tc>
          <w:tcPr>
            <w:tcW w:w="1580" w:type="dxa"/>
            <w:vAlign w:val="bottom"/>
            <w:shd w:val="clear" w:color="auto" w:fill="CCEDFF"/>
          </w:tcPr>
          <w:p>
            <w:pPr>
              <w:spacing w:after="0"/>
              <w:rPr>
                <w:sz w:val="19"/>
                <w:szCs w:val="19"/>
                <w:color w:val="auto"/>
              </w:rPr>
            </w:pPr>
          </w:p>
        </w:tc>
        <w:tc>
          <w:tcPr>
            <w:tcW w:w="114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20" w:type="dxa"/>
            <w:vAlign w:val="bottom"/>
          </w:tcPr>
          <w:p>
            <w:pPr>
              <w:ind w:left="140"/>
              <w:spacing w:after="0"/>
              <w:rPr>
                <w:sz w:val="20"/>
                <w:szCs w:val="20"/>
                <w:color w:val="auto"/>
              </w:rPr>
            </w:pPr>
            <w:r>
              <w:rPr>
                <w:rFonts w:ascii="Arial" w:cs="Arial" w:eastAsia="Arial" w:hAnsi="Arial"/>
                <w:sz w:val="18"/>
                <w:szCs w:val="18"/>
                <w:color w:val="auto"/>
              </w:rPr>
              <w:t>Purchases of property and equipment</w:t>
            </w:r>
          </w:p>
        </w:tc>
        <w:tc>
          <w:tcPr>
            <w:tcW w:w="1600" w:type="dxa"/>
            <w:vAlign w:val="bottom"/>
          </w:tcPr>
          <w:p>
            <w:pPr>
              <w:jc w:val="right"/>
              <w:ind w:right="370"/>
              <w:spacing w:after="0"/>
              <w:rPr>
                <w:sz w:val="20"/>
                <w:szCs w:val="20"/>
                <w:color w:val="auto"/>
              </w:rPr>
            </w:pPr>
            <w:r>
              <w:rPr>
                <w:rFonts w:ascii="Arial" w:cs="Arial" w:eastAsia="Arial" w:hAnsi="Arial"/>
                <w:sz w:val="18"/>
                <w:szCs w:val="18"/>
                <w:color w:val="auto"/>
              </w:rPr>
              <w:t>(9,208)</w:t>
            </w:r>
          </w:p>
        </w:tc>
        <w:tc>
          <w:tcPr>
            <w:tcW w:w="1580" w:type="dxa"/>
            <w:vAlign w:val="bottom"/>
          </w:tcPr>
          <w:p>
            <w:pPr>
              <w:jc w:val="right"/>
              <w:ind w:right="370"/>
              <w:spacing w:after="0"/>
              <w:rPr>
                <w:sz w:val="20"/>
                <w:szCs w:val="20"/>
                <w:color w:val="auto"/>
              </w:rPr>
            </w:pPr>
            <w:r>
              <w:rPr>
                <w:rFonts w:ascii="Arial" w:cs="Arial" w:eastAsia="Arial" w:hAnsi="Arial"/>
                <w:sz w:val="18"/>
                <w:szCs w:val="18"/>
                <w:color w:val="auto"/>
              </w:rPr>
              <w:t>(5,107)</w:t>
            </w:r>
          </w:p>
        </w:tc>
        <w:tc>
          <w:tcPr>
            <w:tcW w:w="1140" w:type="dxa"/>
            <w:vAlign w:val="bottom"/>
          </w:tcPr>
          <w:p>
            <w:pPr>
              <w:jc w:val="right"/>
              <w:spacing w:after="0"/>
              <w:rPr>
                <w:sz w:val="20"/>
                <w:szCs w:val="20"/>
                <w:color w:val="auto"/>
              </w:rPr>
            </w:pPr>
            <w:r>
              <w:rPr>
                <w:rFonts w:ascii="Arial" w:cs="Arial" w:eastAsia="Arial" w:hAnsi="Arial"/>
                <w:sz w:val="18"/>
                <w:szCs w:val="18"/>
                <w:color w:val="auto"/>
              </w:rPr>
              <w:t>(7,536)</w:t>
            </w:r>
          </w:p>
        </w:tc>
        <w:tc>
          <w:tcPr>
            <w:tcW w:w="0" w:type="dxa"/>
            <w:vAlign w:val="bottom"/>
          </w:tcPr>
          <w:p>
            <w:pPr>
              <w:spacing w:after="0"/>
              <w:rPr>
                <w:sz w:val="1"/>
                <w:szCs w:val="1"/>
                <w:color w:val="auto"/>
              </w:rPr>
            </w:pPr>
          </w:p>
        </w:tc>
      </w:tr>
      <w:tr>
        <w:trPr>
          <w:trHeight w:val="230"/>
        </w:trPr>
        <w:tc>
          <w:tcPr>
            <w:tcW w:w="6920" w:type="dxa"/>
            <w:vAlign w:val="bottom"/>
            <w:shd w:val="clear" w:color="auto" w:fill="CCEDFF"/>
          </w:tcPr>
          <w:p>
            <w:pPr>
              <w:ind w:left="140"/>
              <w:spacing w:after="0"/>
              <w:rPr>
                <w:sz w:val="20"/>
                <w:szCs w:val="20"/>
                <w:color w:val="auto"/>
              </w:rPr>
            </w:pPr>
            <w:r>
              <w:rPr>
                <w:rFonts w:ascii="Arial" w:cs="Arial" w:eastAsia="Arial" w:hAnsi="Arial"/>
                <w:sz w:val="18"/>
                <w:szCs w:val="18"/>
                <w:color w:val="auto"/>
              </w:rPr>
              <w:t>Proceeds from sales of assets</w:t>
            </w:r>
          </w:p>
        </w:tc>
        <w:tc>
          <w:tcPr>
            <w:tcW w:w="1600" w:type="dxa"/>
            <w:vAlign w:val="bottom"/>
            <w:shd w:val="clear" w:color="auto" w:fill="CCEDFF"/>
          </w:tcPr>
          <w:p>
            <w:pPr>
              <w:jc w:val="right"/>
              <w:ind w:right="430"/>
              <w:spacing w:after="0"/>
              <w:rPr>
                <w:sz w:val="20"/>
                <w:szCs w:val="20"/>
                <w:color w:val="auto"/>
              </w:rPr>
            </w:pPr>
            <w:r>
              <w:rPr>
                <w:rFonts w:ascii="Arial" w:cs="Arial" w:eastAsia="Arial" w:hAnsi="Arial"/>
                <w:sz w:val="18"/>
                <w:szCs w:val="18"/>
                <w:color w:val="auto"/>
              </w:rPr>
              <w:t>13,456</w:t>
            </w:r>
          </w:p>
        </w:tc>
        <w:tc>
          <w:tcPr>
            <w:tcW w:w="1580" w:type="dxa"/>
            <w:vAlign w:val="bottom"/>
            <w:shd w:val="clear" w:color="auto" w:fill="CCEDFF"/>
          </w:tcPr>
          <w:p>
            <w:pPr>
              <w:jc w:val="right"/>
              <w:ind w:right="430"/>
              <w:spacing w:after="0"/>
              <w:rPr>
                <w:sz w:val="20"/>
                <w:szCs w:val="20"/>
                <w:color w:val="auto"/>
              </w:rPr>
            </w:pPr>
            <w:r>
              <w:rPr>
                <w:rFonts w:ascii="Arial" w:cs="Arial" w:eastAsia="Arial" w:hAnsi="Arial"/>
                <w:sz w:val="18"/>
                <w:szCs w:val="18"/>
                <w:color w:val="auto"/>
              </w:rPr>
              <w:t>11,952</w:t>
            </w:r>
          </w:p>
        </w:tc>
        <w:tc>
          <w:tcPr>
            <w:tcW w:w="1140" w:type="dxa"/>
            <w:vAlign w:val="bottom"/>
            <w:shd w:val="clear" w:color="auto" w:fill="CCEDFF"/>
          </w:tcPr>
          <w:p>
            <w:pPr>
              <w:jc w:val="right"/>
              <w:spacing w:after="0"/>
              <w:rPr>
                <w:sz w:val="20"/>
                <w:szCs w:val="20"/>
                <w:color w:val="auto"/>
              </w:rPr>
            </w:pPr>
            <w:r>
              <w:rPr>
                <w:rFonts w:ascii="Arial" w:cs="Arial" w:eastAsia="Arial" w:hAnsi="Arial"/>
                <w:sz w:val="18"/>
                <w:szCs w:val="18"/>
                <w:color w:val="auto"/>
              </w:rPr>
              <w:t>14,835</w:t>
            </w:r>
          </w:p>
        </w:tc>
        <w:tc>
          <w:tcPr>
            <w:tcW w:w="0" w:type="dxa"/>
            <w:vAlign w:val="bottom"/>
          </w:tcPr>
          <w:p>
            <w:pPr>
              <w:spacing w:after="0"/>
              <w:rPr>
                <w:sz w:val="1"/>
                <w:szCs w:val="1"/>
                <w:color w:val="auto"/>
              </w:rPr>
            </w:pPr>
          </w:p>
        </w:tc>
      </w:tr>
      <w:tr>
        <w:trPr>
          <w:trHeight w:val="230"/>
        </w:trPr>
        <w:tc>
          <w:tcPr>
            <w:tcW w:w="69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net</w:t>
            </w:r>
          </w:p>
        </w:tc>
        <w:tc>
          <w:tcPr>
            <w:tcW w:w="16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(517)</w:t>
            </w:r>
          </w:p>
        </w:tc>
        <w:tc>
          <w:tcPr>
            <w:tcW w:w="15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1,791</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23"/>
        </w:trPr>
        <w:tc>
          <w:tcPr>
            <w:tcW w:w="692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1600" w:type="dxa"/>
            <w:vAlign w:val="bottom"/>
            <w:tcBorders>
              <w:bottom w:val="single" w:sz="8" w:color="auto"/>
            </w:tcBorders>
            <w:shd w:val="clear" w:color="auto" w:fill="CCEDFF"/>
          </w:tcPr>
          <w:p>
            <w:pPr>
              <w:jc w:val="right"/>
              <w:ind w:right="430"/>
              <w:spacing w:after="0"/>
              <w:rPr>
                <w:sz w:val="20"/>
                <w:szCs w:val="20"/>
                <w:color w:val="auto"/>
              </w:rPr>
            </w:pPr>
            <w:r>
              <w:rPr>
                <w:rFonts w:ascii="Arial" w:cs="Arial" w:eastAsia="Arial" w:hAnsi="Arial"/>
                <w:sz w:val="18"/>
                <w:szCs w:val="18"/>
                <w:color w:val="auto"/>
              </w:rPr>
              <w:t>3,731</w:t>
            </w:r>
          </w:p>
        </w:tc>
        <w:tc>
          <w:tcPr>
            <w:tcW w:w="1580" w:type="dxa"/>
            <w:vAlign w:val="bottom"/>
            <w:tcBorders>
              <w:bottom w:val="single" w:sz="8" w:color="auto"/>
            </w:tcBorders>
            <w:shd w:val="clear" w:color="auto" w:fill="CCEDFF"/>
          </w:tcPr>
          <w:p>
            <w:pPr>
              <w:jc w:val="right"/>
              <w:ind w:right="430"/>
              <w:spacing w:after="0"/>
              <w:rPr>
                <w:sz w:val="20"/>
                <w:szCs w:val="20"/>
                <w:color w:val="auto"/>
              </w:rPr>
            </w:pPr>
            <w:r>
              <w:rPr>
                <w:rFonts w:ascii="Arial" w:cs="Arial" w:eastAsia="Arial" w:hAnsi="Arial"/>
                <w:sz w:val="18"/>
                <w:szCs w:val="18"/>
                <w:color w:val="auto"/>
              </w:rPr>
              <w:t>8,636</w:t>
            </w:r>
          </w:p>
        </w:tc>
        <w:tc>
          <w:tcPr>
            <w:tcW w:w="114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6,913</w:t>
            </w:r>
          </w:p>
        </w:tc>
        <w:tc>
          <w:tcPr>
            <w:tcW w:w="0" w:type="dxa"/>
            <w:vAlign w:val="bottom"/>
          </w:tcPr>
          <w:p>
            <w:pPr>
              <w:spacing w:after="0"/>
              <w:rPr>
                <w:sz w:val="1"/>
                <w:szCs w:val="1"/>
                <w:color w:val="auto"/>
              </w:rPr>
            </w:pPr>
          </w:p>
        </w:tc>
      </w:tr>
      <w:tr>
        <w:trPr>
          <w:trHeight w:val="223"/>
        </w:trPr>
        <w:tc>
          <w:tcPr>
            <w:tcW w:w="6920" w:type="dxa"/>
            <w:vAlign w:val="bottom"/>
          </w:tcPr>
          <w:p>
            <w:pPr>
              <w:ind w:left="20"/>
              <w:spacing w:after="0"/>
              <w:rPr>
                <w:sz w:val="20"/>
                <w:szCs w:val="20"/>
                <w:color w:val="auto"/>
              </w:rPr>
            </w:pPr>
            <w:r>
              <w:rPr>
                <w:rFonts w:ascii="Arial" w:cs="Arial" w:eastAsia="Arial" w:hAnsi="Arial"/>
                <w:sz w:val="18"/>
                <w:szCs w:val="18"/>
                <w:color w:val="auto"/>
              </w:rPr>
              <w:t>Cash required for financing activities:</w:t>
            </w:r>
          </w:p>
        </w:tc>
        <w:tc>
          <w:tcPr>
            <w:tcW w:w="16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CEDFF"/>
          </w:tcPr>
          <w:p>
            <w:pPr>
              <w:ind w:left="140"/>
              <w:spacing w:after="0"/>
              <w:rPr>
                <w:sz w:val="20"/>
                <w:szCs w:val="20"/>
                <w:color w:val="auto"/>
              </w:rPr>
            </w:pPr>
            <w:r>
              <w:rPr>
                <w:rFonts w:ascii="Arial" w:cs="Arial" w:eastAsia="Arial" w:hAnsi="Arial"/>
                <w:sz w:val="18"/>
                <w:szCs w:val="18"/>
                <w:color w:val="auto"/>
              </w:rPr>
              <w:t>Principal payments on long-term borrowings</w:t>
            </w:r>
          </w:p>
        </w:tc>
        <w:tc>
          <w:tcPr>
            <w:tcW w:w="1600" w:type="dxa"/>
            <w:vAlign w:val="bottom"/>
            <w:shd w:val="clear" w:color="auto" w:fill="CCEDFF"/>
          </w:tcPr>
          <w:p>
            <w:pPr>
              <w:jc w:val="right"/>
              <w:ind w:right="370"/>
              <w:spacing w:after="0"/>
              <w:rPr>
                <w:sz w:val="20"/>
                <w:szCs w:val="20"/>
                <w:color w:val="auto"/>
              </w:rPr>
            </w:pPr>
            <w:r>
              <w:rPr>
                <w:rFonts w:ascii="Arial" w:cs="Arial" w:eastAsia="Arial" w:hAnsi="Arial"/>
                <w:sz w:val="18"/>
                <w:szCs w:val="18"/>
                <w:color w:val="auto"/>
              </w:rPr>
              <w:t>(9,798)</w:t>
            </w:r>
          </w:p>
        </w:tc>
        <w:tc>
          <w:tcPr>
            <w:tcW w:w="1580" w:type="dxa"/>
            <w:vAlign w:val="bottom"/>
            <w:shd w:val="clear" w:color="auto" w:fill="CCEDFF"/>
          </w:tcPr>
          <w:p>
            <w:pPr>
              <w:jc w:val="right"/>
              <w:ind w:right="370"/>
              <w:spacing w:after="0"/>
              <w:rPr>
                <w:sz w:val="20"/>
                <w:szCs w:val="20"/>
                <w:color w:val="auto"/>
              </w:rPr>
            </w:pPr>
            <w:r>
              <w:rPr>
                <w:rFonts w:ascii="Arial" w:cs="Arial" w:eastAsia="Arial" w:hAnsi="Arial"/>
                <w:sz w:val="18"/>
                <w:szCs w:val="18"/>
                <w:color w:val="auto"/>
              </w:rPr>
              <w:t>(6,813)</w:t>
            </w:r>
          </w:p>
        </w:tc>
        <w:tc>
          <w:tcPr>
            <w:tcW w:w="1140" w:type="dxa"/>
            <w:vAlign w:val="bottom"/>
            <w:shd w:val="clear" w:color="auto" w:fill="CCEDFF"/>
          </w:tcPr>
          <w:p>
            <w:pPr>
              <w:jc w:val="right"/>
              <w:spacing w:after="0"/>
              <w:rPr>
                <w:sz w:val="20"/>
                <w:szCs w:val="20"/>
                <w:color w:val="auto"/>
              </w:rPr>
            </w:pPr>
            <w:r>
              <w:rPr>
                <w:rFonts w:ascii="Arial" w:cs="Arial" w:eastAsia="Arial" w:hAnsi="Arial"/>
                <w:sz w:val="18"/>
                <w:szCs w:val="18"/>
                <w:color w:val="auto"/>
              </w:rPr>
              <w:t>(20,062)</w:t>
            </w:r>
          </w:p>
        </w:tc>
        <w:tc>
          <w:tcPr>
            <w:tcW w:w="0" w:type="dxa"/>
            <w:vAlign w:val="bottom"/>
          </w:tcPr>
          <w:p>
            <w:pPr>
              <w:spacing w:after="0"/>
              <w:rPr>
                <w:sz w:val="1"/>
                <w:szCs w:val="1"/>
                <w:color w:val="auto"/>
              </w:rPr>
            </w:pPr>
          </w:p>
        </w:tc>
      </w:tr>
      <w:tr>
        <w:trPr>
          <w:trHeight w:val="230"/>
        </w:trPr>
        <w:tc>
          <w:tcPr>
            <w:tcW w:w="69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Sale (purchases) of common stock transactions</w:t>
            </w:r>
          </w:p>
        </w:tc>
        <w:tc>
          <w:tcPr>
            <w:tcW w:w="16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(279)</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23"/>
        </w:trPr>
        <w:tc>
          <w:tcPr>
            <w:tcW w:w="692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Net cash required for financing activities</w:t>
            </w:r>
          </w:p>
        </w:tc>
        <w:tc>
          <w:tcPr>
            <w:tcW w:w="1600" w:type="dxa"/>
            <w:vAlign w:val="bottom"/>
            <w:tcBorders>
              <w:bottom w:val="single" w:sz="8" w:color="auto"/>
            </w:tcBorders>
            <w:shd w:val="clear" w:color="auto" w:fill="CCEDFF"/>
          </w:tcPr>
          <w:p>
            <w:pPr>
              <w:jc w:val="right"/>
              <w:ind w:right="370"/>
              <w:spacing w:after="0"/>
              <w:rPr>
                <w:sz w:val="20"/>
                <w:szCs w:val="20"/>
                <w:color w:val="auto"/>
              </w:rPr>
            </w:pPr>
            <w:r>
              <w:rPr>
                <w:rFonts w:ascii="Arial" w:cs="Arial" w:eastAsia="Arial" w:hAnsi="Arial"/>
                <w:sz w:val="18"/>
                <w:szCs w:val="18"/>
                <w:color w:val="auto"/>
              </w:rPr>
              <w:t>(9,798)</w:t>
            </w:r>
          </w:p>
        </w:tc>
        <w:tc>
          <w:tcPr>
            <w:tcW w:w="1580" w:type="dxa"/>
            <w:vAlign w:val="bottom"/>
            <w:tcBorders>
              <w:bottom w:val="single" w:sz="8" w:color="auto"/>
            </w:tcBorders>
            <w:shd w:val="clear" w:color="auto" w:fill="CCEDFF"/>
          </w:tcPr>
          <w:p>
            <w:pPr>
              <w:jc w:val="right"/>
              <w:ind w:right="370"/>
              <w:spacing w:after="0"/>
              <w:rPr>
                <w:sz w:val="20"/>
                <w:szCs w:val="20"/>
                <w:color w:val="auto"/>
              </w:rPr>
            </w:pPr>
            <w:r>
              <w:rPr>
                <w:rFonts w:ascii="Arial" w:cs="Arial" w:eastAsia="Arial" w:hAnsi="Arial"/>
                <w:sz w:val="18"/>
                <w:szCs w:val="18"/>
                <w:color w:val="auto"/>
              </w:rPr>
              <w:t>(7,092)</w:t>
            </w:r>
          </w:p>
        </w:tc>
        <w:tc>
          <w:tcPr>
            <w:tcW w:w="114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(19,693)</w:t>
            </w:r>
          </w:p>
        </w:tc>
        <w:tc>
          <w:tcPr>
            <w:tcW w:w="0" w:type="dxa"/>
            <w:vAlign w:val="bottom"/>
          </w:tcPr>
          <w:p>
            <w:pPr>
              <w:spacing w:after="0"/>
              <w:rPr>
                <w:sz w:val="1"/>
                <w:szCs w:val="1"/>
                <w:color w:val="auto"/>
              </w:rPr>
            </w:pPr>
          </w:p>
        </w:tc>
      </w:tr>
      <w:tr>
        <w:trPr>
          <w:trHeight w:val="223"/>
        </w:trPr>
        <w:tc>
          <w:tcPr>
            <w:tcW w:w="6920" w:type="dxa"/>
            <w:vAlign w:val="bottom"/>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1600" w:type="dxa"/>
            <w:vAlign w:val="bottom"/>
          </w:tcPr>
          <w:p>
            <w:pPr>
              <w:jc w:val="right"/>
              <w:ind w:right="370"/>
              <w:spacing w:after="0"/>
              <w:rPr>
                <w:sz w:val="20"/>
                <w:szCs w:val="20"/>
                <w:color w:val="auto"/>
              </w:rPr>
            </w:pPr>
            <w:r>
              <w:rPr>
                <w:rFonts w:ascii="Arial" w:cs="Arial" w:eastAsia="Arial" w:hAnsi="Arial"/>
                <w:sz w:val="18"/>
                <w:szCs w:val="18"/>
                <w:color w:val="auto"/>
              </w:rPr>
              <w:t>(4,950)</w:t>
            </w:r>
          </w:p>
        </w:tc>
        <w:tc>
          <w:tcPr>
            <w:tcW w:w="1580" w:type="dxa"/>
            <w:vAlign w:val="bottom"/>
          </w:tcPr>
          <w:p>
            <w:pPr>
              <w:jc w:val="right"/>
              <w:ind w:right="370"/>
              <w:spacing w:after="0"/>
              <w:rPr>
                <w:sz w:val="20"/>
                <w:szCs w:val="20"/>
                <w:color w:val="auto"/>
              </w:rPr>
            </w:pPr>
            <w:r>
              <w:rPr>
                <w:rFonts w:ascii="Arial" w:cs="Arial" w:eastAsia="Arial" w:hAnsi="Arial"/>
                <w:sz w:val="18"/>
                <w:szCs w:val="18"/>
                <w:color w:val="auto"/>
              </w:rPr>
              <w:t>(1,637)</w:t>
            </w:r>
          </w:p>
        </w:tc>
        <w:tc>
          <w:tcPr>
            <w:tcW w:w="1140" w:type="dxa"/>
            <w:vAlign w:val="bottom"/>
          </w:tcPr>
          <w:p>
            <w:pPr>
              <w:jc w:val="right"/>
              <w:spacing w:after="0"/>
              <w:rPr>
                <w:sz w:val="20"/>
                <w:szCs w:val="20"/>
                <w:color w:val="auto"/>
              </w:rPr>
            </w:pPr>
            <w:r>
              <w:rPr>
                <w:rFonts w:ascii="Arial" w:cs="Arial" w:eastAsia="Arial" w:hAnsi="Arial"/>
                <w:sz w:val="18"/>
                <w:szCs w:val="18"/>
                <w:color w:val="auto"/>
              </w:rPr>
              <w:t>(9,927)</w:t>
            </w:r>
          </w:p>
        </w:tc>
        <w:tc>
          <w:tcPr>
            <w:tcW w:w="0" w:type="dxa"/>
            <w:vAlign w:val="bottom"/>
          </w:tcPr>
          <w:p>
            <w:pPr>
              <w:spacing w:after="0"/>
              <w:rPr>
                <w:sz w:val="1"/>
                <w:szCs w:val="1"/>
                <w:color w:val="auto"/>
              </w:rPr>
            </w:pPr>
          </w:p>
        </w:tc>
      </w:tr>
      <w:tr>
        <w:trPr>
          <w:trHeight w:val="230"/>
        </w:trPr>
        <w:tc>
          <w:tcPr>
            <w:tcW w:w="6920" w:type="dxa"/>
            <w:vAlign w:val="bottom"/>
            <w:shd w:val="clear" w:color="auto" w:fill="CCEDFF"/>
          </w:tcPr>
          <w:p>
            <w:pPr>
              <w:ind w:left="20"/>
              <w:spacing w:after="0"/>
              <w:rPr>
                <w:sz w:val="20"/>
                <w:szCs w:val="20"/>
                <w:color w:val="auto"/>
              </w:rPr>
            </w:pPr>
            <w:r>
              <w:rPr>
                <w:rFonts w:ascii="Arial" w:cs="Arial" w:eastAsia="Arial" w:hAnsi="Arial"/>
                <w:sz w:val="18"/>
                <w:szCs w:val="18"/>
                <w:color w:val="auto"/>
              </w:rPr>
              <w:t>Cash and cash equivalents:</w:t>
            </w:r>
          </w:p>
        </w:tc>
        <w:tc>
          <w:tcPr>
            <w:tcW w:w="1600" w:type="dxa"/>
            <w:vAlign w:val="bottom"/>
            <w:shd w:val="clear" w:color="auto" w:fill="CCEDFF"/>
          </w:tcPr>
          <w:p>
            <w:pPr>
              <w:spacing w:after="0"/>
              <w:rPr>
                <w:sz w:val="19"/>
                <w:szCs w:val="19"/>
                <w:color w:val="auto"/>
              </w:rPr>
            </w:pPr>
          </w:p>
        </w:tc>
        <w:tc>
          <w:tcPr>
            <w:tcW w:w="1580" w:type="dxa"/>
            <w:vAlign w:val="bottom"/>
            <w:shd w:val="clear" w:color="auto" w:fill="CCEDFF"/>
          </w:tcPr>
          <w:p>
            <w:pPr>
              <w:spacing w:after="0"/>
              <w:rPr>
                <w:sz w:val="19"/>
                <w:szCs w:val="19"/>
                <w:color w:val="auto"/>
              </w:rPr>
            </w:pPr>
          </w:p>
        </w:tc>
        <w:tc>
          <w:tcPr>
            <w:tcW w:w="114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Beginning of year</w:t>
            </w:r>
          </w:p>
        </w:tc>
        <w:tc>
          <w:tcPr>
            <w:tcW w:w="16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14,548</w:t>
            </w:r>
          </w:p>
        </w:tc>
        <w:tc>
          <w:tcPr>
            <w:tcW w:w="15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16,185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26,112</w:t>
            </w:r>
          </w:p>
        </w:tc>
        <w:tc>
          <w:tcPr>
            <w:tcW w:w="0" w:type="dxa"/>
            <w:vAlign w:val="bottom"/>
          </w:tcPr>
          <w:p>
            <w:pPr>
              <w:spacing w:after="0"/>
              <w:rPr>
                <w:sz w:val="1"/>
                <w:szCs w:val="1"/>
                <w:color w:val="auto"/>
              </w:rPr>
            </w:pPr>
          </w:p>
        </w:tc>
      </w:tr>
      <w:tr>
        <w:trPr>
          <w:trHeight w:val="248"/>
        </w:trPr>
        <w:tc>
          <w:tcPr>
            <w:tcW w:w="6920" w:type="dxa"/>
            <w:vAlign w:val="bottom"/>
            <w:tcBorders>
              <w:bottom w:val="single" w:sz="8" w:color="auto"/>
            </w:tcBorders>
            <w:shd w:val="clear" w:color="auto" w:fill="CCEDFF"/>
          </w:tcPr>
          <w:p>
            <w:pPr>
              <w:ind w:left="140"/>
              <w:spacing w:after="0"/>
              <w:rPr>
                <w:sz w:val="20"/>
                <w:szCs w:val="20"/>
                <w:color w:val="auto"/>
              </w:rPr>
            </w:pPr>
            <w:r>
              <w:rPr>
                <w:rFonts w:ascii="Arial" w:cs="Arial" w:eastAsia="Arial" w:hAnsi="Arial"/>
                <w:sz w:val="18"/>
                <w:szCs w:val="18"/>
                <w:color w:val="auto"/>
              </w:rPr>
              <w:t>End of year</w:t>
            </w:r>
          </w:p>
        </w:tc>
        <w:tc>
          <w:tcPr>
            <w:tcW w:w="1600" w:type="dxa"/>
            <w:vAlign w:val="bottom"/>
            <w:tcBorders>
              <w:bottom w:val="single" w:sz="8" w:color="auto"/>
            </w:tcBorders>
            <w:shd w:val="clear" w:color="auto" w:fill="CCEDFF"/>
          </w:tcPr>
          <w:p>
            <w:pPr>
              <w:jc w:val="right"/>
              <w:ind w:right="430"/>
              <w:spacing w:after="0"/>
              <w:rPr>
                <w:sz w:val="20"/>
                <w:szCs w:val="20"/>
                <w:color w:val="auto"/>
              </w:rPr>
            </w:pPr>
            <w:r>
              <w:rPr>
                <w:rFonts w:ascii="Arial" w:cs="Arial" w:eastAsia="Arial" w:hAnsi="Arial"/>
                <w:sz w:val="18"/>
                <w:szCs w:val="18"/>
                <w:color w:val="auto"/>
              </w:rPr>
              <w:t>9,598</w:t>
            </w:r>
          </w:p>
        </w:tc>
        <w:tc>
          <w:tcPr>
            <w:tcW w:w="1580" w:type="dxa"/>
            <w:vAlign w:val="bottom"/>
            <w:tcBorders>
              <w:bottom w:val="single" w:sz="8" w:color="auto"/>
            </w:tcBorders>
            <w:shd w:val="clear" w:color="auto" w:fill="CCEDFF"/>
          </w:tcPr>
          <w:p>
            <w:pPr>
              <w:jc w:val="right"/>
              <w:ind w:right="430"/>
              <w:spacing w:after="0"/>
              <w:rPr>
                <w:sz w:val="20"/>
                <w:szCs w:val="20"/>
                <w:color w:val="auto"/>
              </w:rPr>
            </w:pPr>
            <w:r>
              <w:rPr>
                <w:rFonts w:ascii="Arial" w:cs="Arial" w:eastAsia="Arial" w:hAnsi="Arial"/>
                <w:sz w:val="18"/>
                <w:szCs w:val="18"/>
                <w:color w:val="auto"/>
              </w:rPr>
              <w:t>14,548</w:t>
            </w:r>
          </w:p>
        </w:tc>
        <w:tc>
          <w:tcPr>
            <w:tcW w:w="114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16,185</w:t>
            </w:r>
          </w:p>
        </w:tc>
        <w:tc>
          <w:tcPr>
            <w:tcW w:w="0" w:type="dxa"/>
            <w:vAlign w:val="bottom"/>
          </w:tcPr>
          <w:p>
            <w:pPr>
              <w:spacing w:after="0"/>
              <w:rPr>
                <w:sz w:val="1"/>
                <w:szCs w:val="1"/>
                <w:color w:val="auto"/>
              </w:rPr>
            </w:pPr>
          </w:p>
        </w:tc>
      </w:tr>
      <w:tr>
        <w:trPr>
          <w:trHeight w:val="20"/>
        </w:trPr>
        <w:tc>
          <w:tcPr>
            <w:tcW w:w="6920" w:type="dxa"/>
            <w:vAlign w:val="bottom"/>
            <w:tcBorders>
              <w:top w:val="single" w:sz="8" w:color="CCEDFF"/>
              <w:bottom w:val="single" w:sz="8" w:color="auto"/>
            </w:tcBorders>
          </w:tcPr>
          <w:p>
            <w:pPr>
              <w:spacing w:after="0" w:line="20" w:lineRule="exact"/>
              <w:rPr>
                <w:sz w:val="1"/>
                <w:szCs w:val="1"/>
                <w:color w:val="auto"/>
              </w:rPr>
            </w:pPr>
          </w:p>
        </w:tc>
        <w:tc>
          <w:tcPr>
            <w:tcW w:w="1600" w:type="dxa"/>
            <w:vAlign w:val="bottom"/>
            <w:tcBorders>
              <w:top w:val="single" w:sz="8" w:color="CCEDFF"/>
              <w:bottom w:val="single" w:sz="8" w:color="auto"/>
            </w:tcBorders>
          </w:tcPr>
          <w:p>
            <w:pPr>
              <w:spacing w:after="0" w:line="20" w:lineRule="exact"/>
              <w:rPr>
                <w:sz w:val="1"/>
                <w:szCs w:val="1"/>
                <w:color w:val="auto"/>
              </w:rPr>
            </w:pPr>
          </w:p>
        </w:tc>
        <w:tc>
          <w:tcPr>
            <w:tcW w:w="1580" w:type="dxa"/>
            <w:vAlign w:val="bottom"/>
            <w:tcBorders>
              <w:top w:val="single" w:sz="8" w:color="CCEDFF"/>
              <w:bottom w:val="single" w:sz="8" w:color="auto"/>
            </w:tcBorders>
          </w:tcPr>
          <w:p>
            <w:pPr>
              <w:spacing w:after="0" w:line="20" w:lineRule="exact"/>
              <w:rPr>
                <w:sz w:val="1"/>
                <w:szCs w:val="1"/>
                <w:color w:val="auto"/>
              </w:rPr>
            </w:pPr>
          </w:p>
        </w:tc>
        <w:tc>
          <w:tcPr>
            <w:tcW w:w="1140" w:type="dxa"/>
            <w:vAlign w:val="bottom"/>
            <w:tcBorders>
              <w:top w:val="single" w:sz="8" w:color="CCED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References to "we", "our", "us" and the like throughout the Consolidated Financial Statements refer to Lee Enterprises, Incorporated and subsidiaries (the "Company"). Lee Enterprises, Incorporated is a leading provider of high quality, trusted, local news and information, and a major platform for advertising in the markets we serve. We operate 73 principally mid-sized media operations (including TNI Partners ("TNI") and Madison Newspapers, Inc. ("MNI")) across 26 states.</w:t>
      </w:r>
    </w:p>
    <w:p>
      <w:pPr>
        <w:spacing w:after="0" w:line="136" w:lineRule="exact"/>
        <w:rPr>
          <w:sz w:val="20"/>
          <w:szCs w:val="20"/>
          <w:color w:val="auto"/>
        </w:rPr>
      </w:pPr>
    </w:p>
    <w:p>
      <w:pPr>
        <w:ind w:right="7580" w:firstLine="8"/>
        <w:spacing w:after="0" w:line="461" w:lineRule="auto"/>
        <w:tabs>
          <w:tab w:leader="none" w:pos="35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Basis of Presentation</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Consolidated Financial Statements include our accounts and those of our subsidiaries, all of which are wholly-owned, except for our 50% interest in TNI, 50% interest in MNI and 82.5% interest in BLOX Digital. TNI and MNI are accounted for under the equity method. Results of BLOX Digital are consolidated. In 2024, certain prior period amounts within the consolidated financial statements have been adjusted to conform with current period presentation. These matters did not change operating revenues, net income (loss), accumulated deficit, and earnings (losses) per share in all periods presented.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All of our enterprises use period accounting with the fiscal year ending on the last Sunday in September. References to "2024", "2023", "2022" and the like refer to the fiscal years ended the last Sunday in September. Fiscal years 2024 include 53 weeks of operations, 2023, and 2022 include 52 weeks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("GAAP") requires us to make estimates and judgments that affect the reported amounts of assets, liabilities, revenue and expenses, and related disclosure of contingent assets and liabilities. We evaluate our estimates, which include estimates used in the valuation of goodwill and intangible assets periodically. We evaluate our estimates used in connection with our business combinations, the discount rate assumptions applied to our pension and postretirement plan obligations, the expected long-term rate of return on plan assets, and the provision for income taxes on an on-going basis.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All significant intercompany transactions and balances have been eliminated.</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Investments in TNI and MNI are accounted for using the equity method and are reported at cost, plus our share of undistributed earnings since acquisition less, for TNI, amortization of, and reductions in the value of, intangible assets.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consider all highly liquid debt instruments purchased with an original maturity of three months or less at date of acquisition to be cash equivalents.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evaluate our allowance for credit losses based on historical credit experience, payment trends and other economic factors. Accounts considered to be uncollectible are written off.</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Newsprint inventories and other inventories are priced at the lower of cost or net realizable value. LIFO newsprint inventories at September 29, 2024 and September 24, 2023 are less than replacement cost by $0.8 million and $1.1 million,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inventory by cost method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8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43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September 29, 2024</w:t>
            </w:r>
          </w:p>
        </w:tc>
        <w:tc>
          <w:tcPr>
            <w:tcW w:w="2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September 24, 2023</w:t>
            </w:r>
          </w:p>
        </w:tc>
      </w:tr>
      <w:tr>
        <w:trPr>
          <w:trHeight w:val="250"/>
        </w:trPr>
        <w:tc>
          <w:tcPr>
            <w:tcW w:w="486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30"/>
        </w:trPr>
        <w:tc>
          <w:tcPr>
            <w:tcW w:w="4860" w:type="dxa"/>
            <w:vAlign w:val="bottom"/>
            <w:shd w:val="clear" w:color="auto" w:fill="CCEDFF"/>
          </w:tcPr>
          <w:p>
            <w:pPr>
              <w:ind w:left="20"/>
              <w:spacing w:after="0"/>
              <w:rPr>
                <w:sz w:val="20"/>
                <w:szCs w:val="20"/>
                <w:color w:val="auto"/>
              </w:rPr>
            </w:pPr>
            <w:r>
              <w:rPr>
                <w:rFonts w:ascii="Arial" w:cs="Arial" w:eastAsia="Arial" w:hAnsi="Arial"/>
                <w:sz w:val="18"/>
                <w:szCs w:val="18"/>
                <w:color w:val="auto"/>
              </w:rPr>
              <w:t>Newsprint - FIFO method</w:t>
            </w:r>
          </w:p>
        </w:tc>
        <w:tc>
          <w:tcPr>
            <w:tcW w:w="4360" w:type="dxa"/>
            <w:vAlign w:val="bottom"/>
            <w:shd w:val="clear" w:color="auto" w:fill="CCEDFF"/>
          </w:tcPr>
          <w:p>
            <w:pPr>
              <w:jc w:val="right"/>
              <w:ind w:right="330"/>
              <w:spacing w:after="0"/>
              <w:rPr>
                <w:sz w:val="20"/>
                <w:szCs w:val="20"/>
                <w:color w:val="auto"/>
              </w:rPr>
            </w:pPr>
            <w:r>
              <w:rPr>
                <w:rFonts w:ascii="Arial" w:cs="Arial" w:eastAsia="Arial" w:hAnsi="Arial"/>
                <w:sz w:val="18"/>
                <w:szCs w:val="18"/>
                <w:color w:val="auto"/>
              </w:rPr>
              <w:t>71</w:t>
            </w:r>
          </w:p>
        </w:tc>
        <w:tc>
          <w:tcPr>
            <w:tcW w:w="2020" w:type="dxa"/>
            <w:vAlign w:val="bottom"/>
            <w:shd w:val="clear" w:color="auto" w:fill="CCEDFF"/>
          </w:tcPr>
          <w:p>
            <w:pPr>
              <w:jc w:val="right"/>
              <w:spacing w:after="0"/>
              <w:rPr>
                <w:sz w:val="20"/>
                <w:szCs w:val="20"/>
                <w:color w:val="auto"/>
              </w:rPr>
            </w:pPr>
            <w:r>
              <w:rPr>
                <w:rFonts w:ascii="Arial" w:cs="Arial" w:eastAsia="Arial" w:hAnsi="Arial"/>
                <w:sz w:val="18"/>
                <w:szCs w:val="18"/>
                <w:color w:val="auto"/>
              </w:rPr>
              <w:t>200</w:t>
            </w: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Newsprint - LIFO method</w:t>
            </w:r>
          </w:p>
        </w:tc>
        <w:tc>
          <w:tcPr>
            <w:tcW w:w="4360" w:type="dxa"/>
            <w:vAlign w:val="bottom"/>
          </w:tcPr>
          <w:p>
            <w:pPr>
              <w:jc w:val="right"/>
              <w:ind w:right="330"/>
              <w:spacing w:after="0"/>
              <w:rPr>
                <w:sz w:val="20"/>
                <w:szCs w:val="20"/>
                <w:color w:val="auto"/>
              </w:rPr>
            </w:pPr>
            <w:r>
              <w:rPr>
                <w:rFonts w:ascii="Arial" w:cs="Arial" w:eastAsia="Arial" w:hAnsi="Arial"/>
                <w:sz w:val="18"/>
                <w:szCs w:val="18"/>
                <w:color w:val="auto"/>
              </w:rPr>
              <w:t>465</w:t>
            </w:r>
          </w:p>
        </w:tc>
        <w:tc>
          <w:tcPr>
            <w:tcW w:w="2020" w:type="dxa"/>
            <w:vAlign w:val="bottom"/>
          </w:tcPr>
          <w:p>
            <w:pPr>
              <w:jc w:val="right"/>
              <w:spacing w:after="0"/>
              <w:rPr>
                <w:sz w:val="20"/>
                <w:szCs w:val="20"/>
                <w:color w:val="auto"/>
              </w:rPr>
            </w:pPr>
            <w:r>
              <w:rPr>
                <w:rFonts w:ascii="Arial" w:cs="Arial" w:eastAsia="Arial" w:hAnsi="Arial"/>
                <w:sz w:val="18"/>
                <w:szCs w:val="18"/>
                <w:color w:val="auto"/>
              </w:rPr>
              <w:t>612</w:t>
            </w:r>
          </w:p>
        </w:tc>
      </w:tr>
      <w:tr>
        <w:trPr>
          <w:trHeight w:val="230"/>
        </w:trPr>
        <w:tc>
          <w:tcPr>
            <w:tcW w:w="4860" w:type="dxa"/>
            <w:vAlign w:val="bottom"/>
            <w:shd w:val="clear" w:color="auto" w:fill="CCEDFF"/>
          </w:tcPr>
          <w:p>
            <w:pPr>
              <w:ind w:left="20"/>
              <w:spacing w:after="0"/>
              <w:rPr>
                <w:sz w:val="20"/>
                <w:szCs w:val="20"/>
                <w:color w:val="auto"/>
              </w:rPr>
            </w:pPr>
            <w:r>
              <w:rPr>
                <w:rFonts w:ascii="Arial" w:cs="Arial" w:eastAsia="Arial" w:hAnsi="Arial"/>
                <w:sz w:val="18"/>
                <w:szCs w:val="18"/>
                <w:color w:val="auto"/>
              </w:rPr>
              <w:t>Other inventory - FIFO method</w:t>
            </w:r>
          </w:p>
        </w:tc>
        <w:tc>
          <w:tcPr>
            <w:tcW w:w="4360" w:type="dxa"/>
            <w:vAlign w:val="bottom"/>
            <w:shd w:val="clear" w:color="auto" w:fill="CCEDFF"/>
          </w:tcPr>
          <w:p>
            <w:pPr>
              <w:jc w:val="right"/>
              <w:ind w:right="330"/>
              <w:spacing w:after="0"/>
              <w:rPr>
                <w:sz w:val="20"/>
                <w:szCs w:val="20"/>
                <w:color w:val="auto"/>
              </w:rPr>
            </w:pPr>
            <w:r>
              <w:rPr>
                <w:rFonts w:ascii="Arial" w:cs="Arial" w:eastAsia="Arial" w:hAnsi="Arial"/>
                <w:sz w:val="18"/>
                <w:szCs w:val="18"/>
                <w:color w:val="auto"/>
              </w:rPr>
              <w:t>2,026</w:t>
            </w:r>
          </w:p>
        </w:tc>
        <w:tc>
          <w:tcPr>
            <w:tcW w:w="2020" w:type="dxa"/>
            <w:vAlign w:val="bottom"/>
            <w:shd w:val="clear" w:color="auto" w:fill="CCEDFF"/>
          </w:tcPr>
          <w:p>
            <w:pPr>
              <w:jc w:val="right"/>
              <w:spacing w:after="0"/>
              <w:rPr>
                <w:sz w:val="20"/>
                <w:szCs w:val="20"/>
                <w:color w:val="auto"/>
              </w:rPr>
            </w:pPr>
            <w:r>
              <w:rPr>
                <w:rFonts w:ascii="Arial" w:cs="Arial" w:eastAsia="Arial" w:hAnsi="Arial"/>
                <w:sz w:val="18"/>
                <w:szCs w:val="18"/>
                <w:color w:val="auto"/>
              </w:rPr>
              <w:t>2,173</w:t>
            </w:r>
          </w:p>
        </w:tc>
      </w:tr>
      <w:tr>
        <w:trPr>
          <w:trHeight w:val="229"/>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Specific identification</w:t>
            </w:r>
          </w:p>
        </w:tc>
        <w:tc>
          <w:tcPr>
            <w:tcW w:w="43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3,081</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4,519</w:t>
            </w:r>
          </w:p>
        </w:tc>
      </w:tr>
      <w:tr>
        <w:trPr>
          <w:trHeight w:val="248"/>
        </w:trPr>
        <w:tc>
          <w:tcPr>
            <w:tcW w:w="4860" w:type="dxa"/>
            <w:vAlign w:val="bottom"/>
            <w:tcBorders>
              <w:bottom w:val="single" w:sz="8" w:color="auto"/>
            </w:tcBorders>
            <w:shd w:val="clear" w:color="auto" w:fill="CCEDFF"/>
          </w:tcPr>
          <w:p>
            <w:pPr>
              <w:spacing w:after="0"/>
              <w:rPr>
                <w:sz w:val="21"/>
                <w:szCs w:val="21"/>
                <w:color w:val="auto"/>
              </w:rPr>
            </w:pPr>
          </w:p>
        </w:tc>
        <w:tc>
          <w:tcPr>
            <w:tcW w:w="4360" w:type="dxa"/>
            <w:vAlign w:val="bottom"/>
            <w:tcBorders>
              <w:bottom w:val="single" w:sz="8" w:color="auto"/>
            </w:tcBorders>
            <w:shd w:val="clear" w:color="auto" w:fill="CCEDFF"/>
          </w:tcPr>
          <w:p>
            <w:pPr>
              <w:jc w:val="right"/>
              <w:ind w:right="330"/>
              <w:spacing w:after="0"/>
              <w:rPr>
                <w:sz w:val="20"/>
                <w:szCs w:val="20"/>
                <w:color w:val="auto"/>
              </w:rPr>
            </w:pPr>
            <w:r>
              <w:rPr>
                <w:rFonts w:ascii="Arial" w:cs="Arial" w:eastAsia="Arial" w:hAnsi="Arial"/>
                <w:sz w:val="18"/>
                <w:szCs w:val="18"/>
                <w:color w:val="auto"/>
              </w:rPr>
              <w:t>5,643</w:t>
            </w:r>
          </w:p>
        </w:tc>
        <w:tc>
          <w:tcPr>
            <w:tcW w:w="202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7,504</w:t>
            </w:r>
          </w:p>
        </w:tc>
      </w:tr>
      <w:tr>
        <w:trPr>
          <w:trHeight w:val="20"/>
        </w:trPr>
        <w:tc>
          <w:tcPr>
            <w:tcW w:w="4860" w:type="dxa"/>
            <w:vAlign w:val="bottom"/>
            <w:tcBorders>
              <w:top w:val="single" w:sz="8" w:color="CCEDFF"/>
              <w:bottom w:val="single" w:sz="8" w:color="auto"/>
            </w:tcBorders>
          </w:tcPr>
          <w:p>
            <w:pPr>
              <w:spacing w:after="0" w:line="20" w:lineRule="exact"/>
              <w:rPr>
                <w:sz w:val="1"/>
                <w:szCs w:val="1"/>
                <w:color w:val="auto"/>
              </w:rPr>
            </w:pPr>
          </w:p>
        </w:tc>
        <w:tc>
          <w:tcPr>
            <w:tcW w:w="4360" w:type="dxa"/>
            <w:vAlign w:val="bottom"/>
            <w:tcBorders>
              <w:top w:val="single" w:sz="8" w:color="CCEDFF"/>
              <w:bottom w:val="single" w:sz="8" w:color="auto"/>
            </w:tcBorders>
          </w:tcPr>
          <w:p>
            <w:pPr>
              <w:spacing w:after="0" w:line="20" w:lineRule="exact"/>
              <w:rPr>
                <w:sz w:val="1"/>
                <w:szCs w:val="1"/>
                <w:color w:val="auto"/>
              </w:rPr>
            </w:pPr>
          </w:p>
        </w:tc>
        <w:tc>
          <w:tcPr>
            <w:tcW w:w="2020" w:type="dxa"/>
            <w:vAlign w:val="bottom"/>
            <w:tcBorders>
              <w:top w:val="single" w:sz="8" w:color="CCED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Investments in unconsolidated affiliates over which Lee exercises significant influence, but does not control, are accounted for by the equity method. Under this method, an investment account for each unconsolidated affiliate is increased by contributions made and by Lee's share of net income of the unconsolidated affiliate, and decreased by the share of net losses of and distributions from the unconsolidated affiliate.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elected to account for distributions under the cumulative earnings approach.</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Property and equipment are carried at cost. Equipment and all other assets are depreciated using the straight line method. The estimated useful lives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020" w:type="dxa"/>
            <w:vAlign w:val="bottom"/>
            <w:tcBorders>
              <w:top w:val="single" w:sz="8" w:color="auto"/>
              <w:bottom w:val="single" w:sz="8" w:color="auto"/>
            </w:tcBorders>
          </w:tcPr>
          <w:p>
            <w:pPr>
              <w:spacing w:after="0"/>
              <w:rPr>
                <w:sz w:val="21"/>
                <w:szCs w:val="21"/>
                <w:color w:val="auto"/>
              </w:rPr>
            </w:pPr>
          </w:p>
        </w:tc>
        <w:tc>
          <w:tcPr>
            <w:tcW w:w="4220" w:type="dxa"/>
            <w:vAlign w:val="bottom"/>
            <w:tcBorders>
              <w:top w:val="single" w:sz="8" w:color="auto"/>
              <w:bottom w:val="single" w:sz="8" w:color="auto"/>
            </w:tcBorders>
          </w:tcPr>
          <w:p>
            <w:pPr>
              <w:ind w:left="3740"/>
              <w:spacing w:after="0"/>
              <w:rPr>
                <w:sz w:val="20"/>
                <w:szCs w:val="20"/>
                <w:color w:val="auto"/>
              </w:rPr>
            </w:pPr>
            <w:r>
              <w:rPr>
                <w:rFonts w:ascii="Arial" w:cs="Arial" w:eastAsia="Arial" w:hAnsi="Arial"/>
                <w:sz w:val="18"/>
                <w:szCs w:val="18"/>
                <w:color w:val="auto"/>
                <w:w w:val="97"/>
              </w:rPr>
              <w:t>Years</w:t>
            </w:r>
          </w:p>
        </w:tc>
      </w:tr>
      <w:tr>
        <w:trPr>
          <w:trHeight w:val="250"/>
        </w:trPr>
        <w:tc>
          <w:tcPr>
            <w:tcW w:w="7020" w:type="dxa"/>
            <w:vAlign w:val="bottom"/>
          </w:tcPr>
          <w:p>
            <w:pPr>
              <w:spacing w:after="0"/>
              <w:rPr>
                <w:sz w:val="21"/>
                <w:szCs w:val="21"/>
                <w:color w:val="auto"/>
              </w:rPr>
            </w:pPr>
          </w:p>
        </w:tc>
        <w:tc>
          <w:tcPr>
            <w:tcW w:w="4220" w:type="dxa"/>
            <w:vAlign w:val="bottom"/>
          </w:tcPr>
          <w:p>
            <w:pPr>
              <w:spacing w:after="0"/>
              <w:rPr>
                <w:sz w:val="21"/>
                <w:szCs w:val="21"/>
                <w:color w:val="auto"/>
              </w:rPr>
            </w:pPr>
          </w:p>
        </w:tc>
      </w:tr>
      <w:tr>
        <w:trPr>
          <w:trHeight w:val="230"/>
        </w:trPr>
        <w:tc>
          <w:tcPr>
            <w:tcW w:w="7020" w:type="dxa"/>
            <w:vAlign w:val="bottom"/>
            <w:shd w:val="clear" w:color="auto" w:fill="CCEDFF"/>
          </w:tcPr>
          <w:p>
            <w:pPr>
              <w:ind w:left="20"/>
              <w:spacing w:after="0"/>
              <w:rPr>
                <w:sz w:val="20"/>
                <w:szCs w:val="20"/>
                <w:color w:val="auto"/>
              </w:rPr>
            </w:pPr>
            <w:r>
              <w:rPr>
                <w:rFonts w:ascii="Arial" w:cs="Arial" w:eastAsia="Arial" w:hAnsi="Arial"/>
                <w:sz w:val="18"/>
                <w:szCs w:val="18"/>
                <w:color w:val="auto"/>
              </w:rPr>
              <w:t>Buildings and improvements</w:t>
            </w:r>
          </w:p>
        </w:tc>
        <w:tc>
          <w:tcPr>
            <w:tcW w:w="4220" w:type="dxa"/>
            <w:vAlign w:val="bottom"/>
            <w:shd w:val="clear" w:color="auto" w:fill="CCEDFF"/>
          </w:tcPr>
          <w:p>
            <w:pPr>
              <w:ind w:left="3740"/>
              <w:spacing w:after="0"/>
              <w:rPr>
                <w:sz w:val="20"/>
                <w:szCs w:val="20"/>
                <w:color w:val="auto"/>
              </w:rPr>
            </w:pPr>
            <w:r>
              <w:rPr>
                <w:rFonts w:ascii="Arial" w:cs="Arial" w:eastAsia="Arial" w:hAnsi="Arial"/>
                <w:sz w:val="18"/>
                <w:szCs w:val="18"/>
                <w:color w:val="auto"/>
                <w:w w:val="99"/>
              </w:rPr>
              <w:t>5 - 40</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Printing presses and insertion equipment</w:t>
            </w:r>
          </w:p>
        </w:tc>
        <w:tc>
          <w:tcPr>
            <w:tcW w:w="4220" w:type="dxa"/>
            <w:vAlign w:val="bottom"/>
          </w:tcPr>
          <w:p>
            <w:pPr>
              <w:ind w:left="3740"/>
              <w:spacing w:after="0"/>
              <w:rPr>
                <w:sz w:val="20"/>
                <w:szCs w:val="20"/>
                <w:color w:val="auto"/>
              </w:rPr>
            </w:pPr>
            <w:r>
              <w:rPr>
                <w:rFonts w:ascii="Arial" w:cs="Arial" w:eastAsia="Arial" w:hAnsi="Arial"/>
                <w:sz w:val="18"/>
                <w:szCs w:val="18"/>
                <w:color w:val="auto"/>
                <w:w w:val="99"/>
              </w:rPr>
              <w:t>5 - 25</w:t>
            </w:r>
          </w:p>
        </w:tc>
      </w:tr>
      <w:tr>
        <w:trPr>
          <w:trHeight w:val="229"/>
        </w:trPr>
        <w:tc>
          <w:tcPr>
            <w:tcW w:w="7020" w:type="dxa"/>
            <w:vAlign w:val="bottom"/>
            <w:shd w:val="clear" w:color="auto" w:fill="CCEDFF"/>
          </w:tcPr>
          <w:p>
            <w:pPr>
              <w:ind w:left="20"/>
              <w:spacing w:after="0"/>
              <w:rPr>
                <w:sz w:val="20"/>
                <w:szCs w:val="20"/>
                <w:color w:val="auto"/>
              </w:rPr>
            </w:pPr>
            <w:r>
              <w:rPr>
                <w:rFonts w:ascii="Arial" w:cs="Arial" w:eastAsia="Arial" w:hAnsi="Arial"/>
                <w:sz w:val="18"/>
                <w:szCs w:val="18"/>
                <w:color w:val="auto"/>
              </w:rPr>
              <w:t>Leasehold improvements</w:t>
            </w:r>
          </w:p>
        </w:tc>
        <w:tc>
          <w:tcPr>
            <w:tcW w:w="4220" w:type="dxa"/>
            <w:vAlign w:val="bottom"/>
            <w:shd w:val="clear" w:color="auto" w:fill="CCEDFF"/>
          </w:tcPr>
          <w:p>
            <w:pPr>
              <w:ind w:left="3740"/>
              <w:spacing w:after="0"/>
              <w:rPr>
                <w:sz w:val="20"/>
                <w:szCs w:val="20"/>
                <w:color w:val="auto"/>
              </w:rPr>
            </w:pPr>
            <w:r>
              <w:rPr>
                <w:rFonts w:ascii="Arial" w:cs="Arial" w:eastAsia="Arial" w:hAnsi="Arial"/>
                <w:sz w:val="18"/>
                <w:szCs w:val="18"/>
                <w:color w:val="auto"/>
                <w:w w:val="99"/>
              </w:rPr>
              <w:t>3 - 10</w:t>
            </w:r>
          </w:p>
        </w:tc>
      </w:tr>
      <w:tr>
        <w:trPr>
          <w:trHeight w:val="230"/>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4220" w:type="dxa"/>
            <w:vAlign w:val="bottom"/>
            <w:tcBorders>
              <w:bottom w:val="single" w:sz="8" w:color="auto"/>
            </w:tcBorders>
          </w:tcPr>
          <w:p>
            <w:pPr>
              <w:ind w:left="3740"/>
              <w:spacing w:after="0"/>
              <w:rPr>
                <w:sz w:val="20"/>
                <w:szCs w:val="20"/>
                <w:color w:val="auto"/>
              </w:rPr>
            </w:pPr>
            <w:r>
              <w:rPr>
                <w:rFonts w:ascii="Arial" w:cs="Arial" w:eastAsia="Arial" w:hAnsi="Arial"/>
                <w:sz w:val="18"/>
                <w:szCs w:val="18"/>
                <w:color w:val="auto"/>
                <w:w w:val="99"/>
              </w:rPr>
              <w:t>3 - 15</w:t>
            </w:r>
          </w:p>
        </w:tc>
      </w:tr>
      <w:tr>
        <w:trPr>
          <w:trHeight w:val="20"/>
        </w:trPr>
        <w:tc>
          <w:tcPr>
            <w:tcW w:w="7020" w:type="dxa"/>
            <w:vAlign w:val="bottom"/>
            <w:tcBorders>
              <w:bottom w:val="single" w:sz="8" w:color="auto"/>
            </w:tcBorders>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2024, 2023 and 2022 was $10.4 million, $11.6 million, and $14.4 million, respectively.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Intangible Assets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Goodwill and other intangible assets are summarized in Note 4. Intangible assets include customer lists, newspaper subscriber lists and mastheads. Intangible assets subject to amortization are being amortized using the straight-line method except for intangible assets acquired with the acquisition of BH Media Group, Inc. and The Buffalo News, Inc. in 2020, which are being amortized in an accelerated manner consistent with the expected economic benefit.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420" w:type="dxa"/>
            <w:vAlign w:val="bottom"/>
            <w:tcBorders>
              <w:top w:val="single" w:sz="8" w:color="auto"/>
              <w:bottom w:val="single" w:sz="8" w:color="auto"/>
            </w:tcBorders>
          </w:tcPr>
          <w:p>
            <w:pPr>
              <w:spacing w:after="0"/>
              <w:rPr>
                <w:sz w:val="21"/>
                <w:szCs w:val="21"/>
                <w:color w:val="auto"/>
              </w:rPr>
            </w:pPr>
          </w:p>
        </w:tc>
        <w:tc>
          <w:tcPr>
            <w:tcW w:w="4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Years</w:t>
            </w:r>
          </w:p>
        </w:tc>
      </w:tr>
      <w:tr>
        <w:trPr>
          <w:trHeight w:val="250"/>
        </w:trPr>
        <w:tc>
          <w:tcPr>
            <w:tcW w:w="6420" w:type="dxa"/>
            <w:vAlign w:val="bottom"/>
          </w:tcPr>
          <w:p>
            <w:pPr>
              <w:spacing w:after="0"/>
              <w:rPr>
                <w:sz w:val="21"/>
                <w:szCs w:val="21"/>
                <w:color w:val="auto"/>
              </w:rPr>
            </w:pPr>
          </w:p>
        </w:tc>
        <w:tc>
          <w:tcPr>
            <w:tcW w:w="4820" w:type="dxa"/>
            <w:vAlign w:val="bottom"/>
          </w:tcPr>
          <w:p>
            <w:pPr>
              <w:spacing w:after="0"/>
              <w:rPr>
                <w:sz w:val="21"/>
                <w:szCs w:val="21"/>
                <w:color w:val="auto"/>
              </w:rPr>
            </w:pPr>
          </w:p>
        </w:tc>
      </w:tr>
      <w:tr>
        <w:trPr>
          <w:trHeight w:val="229"/>
        </w:trPr>
        <w:tc>
          <w:tcPr>
            <w:tcW w:w="6420" w:type="dxa"/>
            <w:vAlign w:val="bottom"/>
            <w:shd w:val="clear" w:color="auto" w:fill="CCEDFF"/>
          </w:tcPr>
          <w:p>
            <w:pPr>
              <w:ind w:left="20"/>
              <w:spacing w:after="0"/>
              <w:rPr>
                <w:sz w:val="20"/>
                <w:szCs w:val="20"/>
                <w:color w:val="auto"/>
              </w:rPr>
            </w:pPr>
            <w:r>
              <w:rPr>
                <w:rFonts w:ascii="Arial" w:cs="Arial" w:eastAsia="Arial" w:hAnsi="Arial"/>
                <w:sz w:val="18"/>
                <w:szCs w:val="18"/>
                <w:color w:val="auto"/>
              </w:rPr>
              <w:t>Customer lists</w:t>
            </w:r>
          </w:p>
        </w:tc>
        <w:tc>
          <w:tcPr>
            <w:tcW w:w="4820" w:type="dxa"/>
            <w:vAlign w:val="bottom"/>
            <w:shd w:val="clear" w:color="auto" w:fill="CCEDFF"/>
          </w:tcPr>
          <w:p>
            <w:pPr>
              <w:jc w:val="right"/>
              <w:spacing w:after="0"/>
              <w:rPr>
                <w:sz w:val="20"/>
                <w:szCs w:val="20"/>
                <w:color w:val="auto"/>
              </w:rPr>
            </w:pPr>
            <w:r>
              <w:rPr>
                <w:rFonts w:ascii="Arial" w:cs="Arial" w:eastAsia="Arial" w:hAnsi="Arial"/>
                <w:sz w:val="18"/>
                <w:szCs w:val="18"/>
                <w:color w:val="auto"/>
              </w:rPr>
              <w:t>10 - 20</w:t>
            </w:r>
          </w:p>
        </w:tc>
      </w:tr>
      <w:tr>
        <w:trPr>
          <w:trHeight w:val="230"/>
        </w:trPr>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Newspaper subscriber lists</w:t>
            </w:r>
          </w:p>
        </w:tc>
        <w:tc>
          <w:tcPr>
            <w:tcW w:w="4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10 - 20</w:t>
            </w:r>
          </w:p>
        </w:tc>
      </w:tr>
    </w:tbl>
    <w:p>
      <w:pPr>
        <w:spacing w:after="0" w:line="2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review goodwill and non-amortizing intangible assets, which include only newspaper mastheads, for impairment annually as of the first day of the fiscal fourth quarter, or more frequently if events or changes in circumstances indicate that an asset may be impaired in accordance with Financial Accounting Standards Board ("FASB") Accounting Standards Codification ("ASC") Topic 350, Intangibles - Goodwill and Other. Under ASC Topic 350, the impairment test for goodwill and non-amortizing intangible assets must be based on estimated fair values. Impairment would occur when the carrying amount of the reporting unit is greater than its fair value.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determines if an arrangement is a lease at inception. Operating leases are included in operating lease ROU assets, current portion of long-term lease liabilities and operating lease liabilities on the Consolidated Balance Sheets. Finance leases would be included in property, plant and equipment, current portion of long-term debt and long-term debt on the Consolidated Balance Sheets. Amortization of operating lease ROU assets is included in other operating expenses. Amortization of finance leases would be included in depreciation expense.</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lease ROU assets and operating lease liabilities are recognized based on the present value of the future minimum lease payments over the lease term at commencement date. The ROU asset is adjusted to include lease payments made to date and initial direct costs incurred and to deduct for lease incentives received and impairment recognized. As most of the Company's leases do not provide an implicit rate, We determined the incremental borrowing rate based on a senior secured collateral adjusted yield curve for the Company. This yield curve reflects the estimated rate that would have been paid by the Company to borrow on a collateralized basis over a similar term in a similar economic environment. The lease terms may include options to extend or terminate the lease when it is reasonably certain that the option will be exercised. Lease expense for minimum lease payments is recognized on a straight-line basis over the lease term. Certain lease agreements have lease and non-lease components, which are accounted for together. See Note 6 for additional information related to leases.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Revenue is recognized when a performance obligation is satisfied by the transfer of control of the contracted goods or services to our customers, in an amount that reflects the consideration we expect to receive in exchange for those goods or services. See Note 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 and Other</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Restructuring costs and other primarily relate to severance expenses associated with involuntary terminations, litigation, business transformation efforts, and other expenses. These costs are expensed as incurred.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Postretirement and Postemployment Benefit Plans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evaluate our liabilities for pension, postretirement and postemployment benefit plans based upon computations made by consulting actuaries, incorporating estimates and actuarial assumptions of future plan service costs, future interest costs on projected benefit obligations, rates of compensation increases, when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applicable, employee turnover rates, anticipated mortality rates, expected investment returns on plan assets, asset allocation assumptions of plan assets and other factors.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apply a practical expedient under ASC Topic 715, </w:t>
      </w:r>
      <w:r>
        <w:rPr>
          <w:rFonts w:ascii="Arial" w:cs="Arial" w:eastAsia="Arial" w:hAnsi="Arial"/>
          <w:sz w:val="18"/>
          <w:szCs w:val="18"/>
          <w:i w:val="1"/>
          <w:iCs w:val="1"/>
          <w:color w:val="auto"/>
        </w:rPr>
        <w:t>Compensation – Retirement Benefits</w:t>
      </w:r>
      <w:r>
        <w:rPr>
          <w:rFonts w:ascii="Arial" w:cs="Arial" w:eastAsia="Arial" w:hAnsi="Arial"/>
          <w:sz w:val="18"/>
          <w:szCs w:val="18"/>
          <w:color w:val="auto"/>
        </w:rPr>
        <w:t>, which allows us to measure plan assets and benefit obligations using the month-end that is closest to our fiscal year-end. Accordingly, we measure our plan assets and benefit obligations as of September 30, or upon a remeasurement event. We use the alternative spot rate approach which utilizes a full yield curve to estimate the interest cost component of benefit cost by applying the specific spot rates along the yield curve used in the determination of the benefit obligation to the relevant projected cash flows.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Multiemployer Pension Plans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contributes to a number of multiemployer defined benefit pension plans under the terms of collective-bargaining agreements that cover certain of the Company's union represented employees. The risks of participating in these multiemployer plans are different from single-employer plans in that assets contributed are pooled and may be used to provide benefits to employees of other participating employers. If a participating employer withdraws from or otherwise ceases to contribute to the plan, the unfunded obligations of the plan may be borne by the remaining participating employers. Alternatively, if the Company chooses to stop participating in one of its multiemployer plans, it may incur a withdrawal liability based on its actuarially determined share of the unfunded status of the plan.</w:t>
      </w:r>
    </w:p>
    <w:p>
      <w:pPr>
        <w:spacing w:after="0" w:line="15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Contributions made to multiemployer plans are based on collective-bargaining agreements and are accounted for under guidance related to multiemployer plans, which essentially provides that contributions to such plans are expensed when due. Any withdrawal liability would be recognized at the point withdrawal from the plan becomes probable. See Note 9 for additional information.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Deferred income tax assets are recognized for deductible temporary differences and loss carryforwards and deferred income tax liabilities are recognized for taxable temporary differences which are the difference between the reported amounts of assets and liabilities and their tax basis. Deferred income tax assets are reduced by a valuation allowance when, in our opinion, it is more likely than not that some portion or all of the deferred income tax assets will not be realized. Deferred income tax assets and liabilities are adjusted for the effects of changes in tax laws and rates on the date of enactment.</w:t>
      </w:r>
    </w:p>
    <w:p>
      <w:pPr>
        <w:spacing w:after="0" w:line="1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recognize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We record interest and penalties related to unrecognized tax benefits as a component of income tax expense.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utilize ASC Topic 820 -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to measure and report fair value. ASC Topic 820 defines fair value, establishes a framework for measuring fair value and expands disclosures about fair value measurements. ASC Topic 820 establishes a three-level hierarchy of fair value measurements based on whether the inputs to those measurements are observable or unobservable, which consists of the following levels: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for identical instruments in active markets.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Quoted prices for similar instruments in active markets; quoted prices for identical or similar instruments in markets that are not</w:t>
      </w:r>
      <w:r>
        <w:rPr>
          <w:rFonts w:ascii="Arial" w:cs="Arial" w:eastAsia="Arial" w:hAnsi="Arial"/>
          <w:sz w:val="18"/>
          <w:szCs w:val="18"/>
          <w:i w:val="1"/>
          <w:iCs w:val="1"/>
          <w:color w:val="auto"/>
        </w:rPr>
        <w:t xml:space="preserve"> </w:t>
      </w:r>
      <w:r>
        <w:rPr>
          <w:rFonts w:ascii="Arial" w:cs="Arial" w:eastAsia="Arial" w:hAnsi="Arial"/>
          <w:sz w:val="18"/>
          <w:szCs w:val="18"/>
          <w:color w:val="auto"/>
        </w:rPr>
        <w:t>active; and model-derived valuations in which all significant inputs are observable in active markets.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Valuations derived from valuation techniques in which one or more significant inputs are unobservable.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Investments measured at net asset value, as a practical expedient for fair value, are excluded from the fair value hierarchy.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Valuation methodologies measured at fair value are as follows: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consist of short term deposits valued based on quoted prices in active markets. Such investments are classified as</w:t>
      </w:r>
      <w:r>
        <w:rPr>
          <w:rFonts w:ascii="Arial" w:cs="Arial" w:eastAsia="Arial" w:hAnsi="Arial"/>
          <w:sz w:val="18"/>
          <w:szCs w:val="18"/>
          <w:i w:val="1"/>
          <w:iCs w:val="1"/>
          <w:color w:val="auto"/>
        </w:rPr>
        <w:t xml:space="preserve"> </w:t>
      </w:r>
      <w:r>
        <w:rPr>
          <w:rFonts w:ascii="Arial" w:cs="Arial" w:eastAsia="Arial" w:hAnsi="Arial"/>
          <w:sz w:val="18"/>
          <w:szCs w:val="18"/>
          <w:color w:val="auto"/>
        </w:rPr>
        <w:t>Level 1.</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Fixed income securities </w:t>
      </w:r>
      <w:r>
        <w:rPr>
          <w:rFonts w:ascii="Arial" w:cs="Arial" w:eastAsia="Arial" w:hAnsi="Arial"/>
          <w:sz w:val="18"/>
          <w:szCs w:val="18"/>
          <w:color w:val="auto"/>
        </w:rPr>
        <w:t>are valued based on the closing market price in an active market and are classified as Level 1. Certain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in commingled funds are valued at the end of the period based upon the value of the underlying investments as determined by quoted market prices. Such investments are classified as Level 2. Certain fixed income securities are part of a collective investment fund for which there is no readily determinable fair value. This fund is valued at the net asset value of units held at the end of the period based upon the value of the underlying investments, which is determined using multiple approaches including by quoted market prices and by private market quotations. Such investments are excluded from the fair value hierarchy.</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Equity securities </w:t>
      </w:r>
      <w:r>
        <w:rPr>
          <w:rFonts w:ascii="Arial" w:cs="Arial" w:eastAsia="Arial" w:hAnsi="Arial"/>
          <w:sz w:val="18"/>
          <w:szCs w:val="18"/>
          <w:color w:val="auto"/>
        </w:rPr>
        <w:t>are valued based on the closing market price in an active market and are classified as Level 1. Certain investments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commingled funds are valued at the end of the period based upon the value of the underlying investments as determined by quoted market prices. Such investments are classified as Level 2. Certain equity securities are part of a collective investment fund for which there is no readily determinable fair value. This fund is valued at the net asset value of units held at the end of the period based upon the value of the underlying investments, which is determined using multiple approaches including by quoted market prices and by private market quotations. Such investments are excluded from the fair value hierarchy.</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Debt securities </w:t>
      </w:r>
      <w:r>
        <w:rPr>
          <w:rFonts w:ascii="Arial" w:cs="Arial" w:eastAsia="Arial" w:hAnsi="Arial"/>
          <w:sz w:val="18"/>
          <w:szCs w:val="18"/>
          <w:color w:val="auto"/>
        </w:rPr>
        <w:t>consist of government securities, corporate bonds, and mutual funds. Government securities and corporate bonds are valued</w:t>
      </w:r>
      <w:r>
        <w:rPr>
          <w:rFonts w:ascii="Arial" w:cs="Arial" w:eastAsia="Arial" w:hAnsi="Arial"/>
          <w:sz w:val="18"/>
          <w:szCs w:val="18"/>
          <w:i w:val="1"/>
          <w:iCs w:val="1"/>
          <w:color w:val="auto"/>
        </w:rPr>
        <w:t xml:space="preserve"> </w:t>
      </w:r>
      <w:r>
        <w:rPr>
          <w:rFonts w:ascii="Arial" w:cs="Arial" w:eastAsia="Arial" w:hAnsi="Arial"/>
          <w:sz w:val="18"/>
          <w:szCs w:val="18"/>
          <w:color w:val="auto"/>
        </w:rPr>
        <w:t>based upon quoted market prices in an inactive market. Such investments are classified as Level 2. Mutual funds are valued based upon quoted market prices in an active market. Such investments are classified as Level 1.</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Hedge funds </w:t>
      </w:r>
      <w:r>
        <w:rPr>
          <w:rFonts w:ascii="Arial" w:cs="Arial" w:eastAsia="Arial" w:hAnsi="Arial"/>
          <w:sz w:val="18"/>
          <w:szCs w:val="18"/>
          <w:color w:val="auto"/>
        </w:rPr>
        <w:t>consist of a long/short equity funds and a diversified fund of funds for which there is no readily determinable fair value. These</w:t>
      </w:r>
      <w:r>
        <w:rPr>
          <w:rFonts w:ascii="Arial" w:cs="Arial" w:eastAsia="Arial" w:hAnsi="Arial"/>
          <w:sz w:val="18"/>
          <w:szCs w:val="18"/>
          <w:i w:val="1"/>
          <w:iCs w:val="1"/>
          <w:color w:val="auto"/>
        </w:rPr>
        <w:t xml:space="preserve"> </w:t>
      </w:r>
      <w:r>
        <w:rPr>
          <w:rFonts w:ascii="Arial" w:cs="Arial" w:eastAsia="Arial" w:hAnsi="Arial"/>
          <w:sz w:val="18"/>
          <w:szCs w:val="18"/>
          <w:color w:val="auto"/>
        </w:rPr>
        <w:t>funds are valued at the net asset value of units held at the end of the period based upon the value of the underlying investments, which is determined using multiple approaches including by quoted market prices and by private market quotations. Such investments are excluded from the fair value hierarchy.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consists of approximately 50 strategic business units ("SBU's"). The SBUs generally include print and digital subscription products and the associated advertising and marketing services. Each of our SBUs have comparable types of costs (compensation, newsprint/ink, and other costs) to generate similar sources of advertising and marketing services revenue and subscription revenue, they produce products in similar manner; they have same class of customers and they use the same distribution processes. In other words, each SBU engages in the same business activities.</w:t>
      </w:r>
    </w:p>
    <w:p>
      <w:pPr>
        <w:spacing w:after="0" w:line="1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Separate operating results of each SBU are not reviewed by the chief operating decision maker ("CODM"). The CODM reviews Consolidated Statements of Income and Consolidated Balance Sheets on a monthly basis, and reviews the Consolidated Statements of Cash Flows ("SOCF") on a quarterly basis. The balance sheets and SOCF are only prepared on a consolidated level. Selective revenue and expense details by SBU are reviewed by the CODM, however, the focus of those reviews is on details of advertising and marketing services revenue by SBU and subscription revenue by SBU. Complete operating results or other profitability measures by SBU are not reviewed by the CODM. Further, business decisions by the CODM, including the allocation of resources, are determined based on reviewing consolidated information.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We have several stock-based compensation plans. We account for grants under those plans under the fair value expense recognition provisions of ASC Topic 718 -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We determine the fair value of stock options using the Black-Scholes option pricing formula. Key inputs to this formula include expected term, expected volatility and the risk-free interest rate.</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expected term represents the period that our stock-based awards are expected to be outstanding, and is determined based on historical experience of similar awards, giving consideration to contractual terms of the awards, vesting schedules and expectations of future employee behavior. The volatility factor is calculated using historical market data for our Common Stock. The time frame used is equal to the expected term. We base the risk-free interest rate on the yield to maturity at the time of the stock option grant on zero-coupon U.S.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government bonds having a remaining term equal to the option's expected term. When estimating forfeitures, we consider voluntary termination behavior as well as actual option forfeitures.</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amortize as compensation expense the value of stock options and restricted Common Stock using the straight-line method over the requisite service period or restriction period, which is generally one to four years.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Uninsured Risks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self-insured for health care, workers compensation and certain long-term disability costs of our employees, subject to stop loss insurance, which limits our losses in the event of large claims. We accrue our estimated health care costs in the period in which such costs are incurred, including an estimate of incurred but not-reported claims. Other risks are insured and carry deductible losses of varying amounts. We have posted cash collateral totaling $6.7 million and $7.0 million at September 29, 2024 and September 24, 2023, respectively in support of our insurance programs recorded under Other on the Consolidated Balance Sheets.</w:t>
      </w:r>
    </w:p>
    <w:p>
      <w:pPr>
        <w:spacing w:after="0" w:line="1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accrued reserves for health care and workers compensation claims are based upon estimates of the remaining liability for retained losses made by consulting actuaries. The amount of workers compensation reserve has been determined based upon historical patterns of incurred and paid loss development factors from the insurance industry.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not yet Adopted</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In November 2023, the FASB issued Accounting Standards Update ("ASU") 2023 -07 -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to improve reportable segment disclosure requirements, primarily through enhanced disclosures about significant segment expenses. This pronouncement is effective for fiscal years beginning after December 15, 2023, and interim periods within fiscal years beginning after December 15, 2024. Early adoption is permitted. The Company is evaluating the impact this will have on our Consolidated Financial Statements.</w:t>
      </w:r>
    </w:p>
    <w:p>
      <w:pPr>
        <w:spacing w:after="0" w:line="14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November 2023, the FASB issued guidance, ASU 2023-09, which enhances annual income tax disclosures. ASU 2023-09 requires disaggregated information about a reporting entity's effective tax rate reconciliation as well as information on income taxes paid. ASU 2023-09 will be effective for annual periods beginning after December 15, 2024. The Company is currently evaluating the provisions of the updated guidance and assessing the impact on the Consolidated financial statements.</w:t>
      </w:r>
    </w:p>
    <w:p>
      <w:pPr>
        <w:spacing w:after="0" w:line="13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November 2024, the FASB issued ASU 2024-03, which requires disaggregated disclosure of income statement expenses. This standard is effective for fiscal years beginning after December 15, 2026 and interim periods within fiscal years beginning after December 15, 2027. Early adoption is permitted. The Company is evaluating the impact this will have on our Consolidated Financial Statements.</w:t>
      </w:r>
    </w:p>
    <w:p>
      <w:pPr>
        <w:spacing w:after="0" w:line="130"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Revenue is recognized when control of the promised goods or services is transferred to customers, in an amount that reflects the consideration the Company expects to be entitled to in exchange for goods or services. Revenues are recognized as performance obligations are satisfied either at a point in time, such as when an advertisement is published, or over time, such as audience subscription revenue. No single customer represented 10% or more of the Company's net revenue in any fiscal period presented.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and marketing services revenue</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Print advertising revenue includes amounts charged to customers for retail, national, or classified advertising space purchased in our newspapers, advertising marketing services and other print advertising products such as preprint inserts and direct mail.</w:t>
      </w:r>
    </w:p>
    <w:p>
      <w:pPr>
        <w:spacing w:after="0" w:line="12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Digital advertising revenue includes amounts for advertisements placed on our digital platforms, amounts charged to customers for digital marketing services which include: audience extension, search engine optimization, search engine marketing, web and mobile production, social media services and reputation monitoring and management.</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Payments for print and digital advertising revenue are due upon completion of our performance obligations at previously agreed upon rates. In instances where the timing of revenue recognition differs from the timing of invoicing, such timing differences are not large. As a result, we have determined that our contracts do not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include a significant financing component. Depending on the product revenue is recognized over time or at the point in time in which performance obligations are met.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revenue</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Print subscription revenue results from the sale of print editions of newspapers to individual subscribers and to sales outlets that resell the newspapers. Print subscriptions include full access to all forms of content provided. Single copy revenue is also included in subscription revenue. Subscription revenue from single-copy and home delivery subscriptions are recognized at the point in time the publications are delivered.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Digital subscription revenue results from the sale of digital-only access to the Company's content delivered via digital products purchased.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Digital subscription revenue is recognized over time as performance obligations are met throughout the subscription period.</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Payments for print and digital subscription revenue are typically collected in advance, are for contract periods of one year or less and result in an unearned revenue liability that is reduced when revenue is recognized.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revenue primarily consists of digital services, commercial printing and delivery of third party products. Digital services revenues, which are primarily delivered through BLOX Digital, are primarily comprised of contractual agreements to provide web hosting and content management services. As such, digital services revenue is recognized over the contract period. Prices for digital services are agreed upon in advance of the contract beginning and are typically billed in arrears on a monthly basis, with the exception of implementation fees which are recognized as deferred revenue and amortized over the contract period. Commercial printing and delivery revenue is recognized when the product is delivered to the customer.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 disaggregated by source: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236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rPr>
              <w:t>2024</w:t>
            </w:r>
          </w:p>
        </w:tc>
        <w:tc>
          <w:tcPr>
            <w:tcW w:w="23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rPr>
              <w:t>2023</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2022</w:t>
            </w:r>
          </w:p>
        </w:tc>
      </w:tr>
      <w:tr>
        <w:trPr>
          <w:trHeight w:val="250"/>
        </w:trPr>
        <w:tc>
          <w:tcPr>
            <w:tcW w:w="498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36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4980" w:type="dxa"/>
            <w:vAlign w:val="bottom"/>
          </w:tcPr>
          <w:p>
            <w:pPr>
              <w:ind w:left="140"/>
              <w:spacing w:after="0"/>
              <w:rPr>
                <w:sz w:val="20"/>
                <w:szCs w:val="20"/>
                <w:color w:val="auto"/>
              </w:rPr>
            </w:pPr>
            <w:r>
              <w:rPr>
                <w:rFonts w:ascii="Arial" w:cs="Arial" w:eastAsia="Arial" w:hAnsi="Arial"/>
                <w:sz w:val="18"/>
                <w:szCs w:val="18"/>
                <w:color w:val="auto"/>
              </w:rPr>
              <w:t>Print advertising revenue</w:t>
            </w:r>
          </w:p>
        </w:tc>
        <w:tc>
          <w:tcPr>
            <w:tcW w:w="2360" w:type="dxa"/>
            <w:vAlign w:val="bottom"/>
          </w:tcPr>
          <w:p>
            <w:pPr>
              <w:jc w:val="right"/>
              <w:ind w:right="790"/>
              <w:spacing w:after="0"/>
              <w:rPr>
                <w:sz w:val="20"/>
                <w:szCs w:val="20"/>
                <w:color w:val="auto"/>
              </w:rPr>
            </w:pPr>
            <w:r>
              <w:rPr>
                <w:rFonts w:ascii="Arial" w:cs="Arial" w:eastAsia="Arial" w:hAnsi="Arial"/>
                <w:sz w:val="18"/>
                <w:szCs w:val="18"/>
                <w:color w:val="auto"/>
              </w:rPr>
              <w:t>81,488</w:t>
            </w:r>
          </w:p>
        </w:tc>
        <w:tc>
          <w:tcPr>
            <w:tcW w:w="2340" w:type="dxa"/>
            <w:vAlign w:val="bottom"/>
          </w:tcPr>
          <w:p>
            <w:pPr>
              <w:jc w:val="right"/>
              <w:ind w:right="790"/>
              <w:spacing w:after="0"/>
              <w:rPr>
                <w:sz w:val="20"/>
                <w:szCs w:val="20"/>
                <w:color w:val="auto"/>
              </w:rPr>
            </w:pPr>
            <w:r>
              <w:rPr>
                <w:rFonts w:ascii="Arial" w:cs="Arial" w:eastAsia="Arial" w:hAnsi="Arial"/>
                <w:sz w:val="18"/>
                <w:szCs w:val="18"/>
                <w:color w:val="auto"/>
              </w:rPr>
              <w:t>125,804</w:t>
            </w:r>
          </w:p>
        </w:tc>
        <w:tc>
          <w:tcPr>
            <w:tcW w:w="1560" w:type="dxa"/>
            <w:vAlign w:val="bottom"/>
          </w:tcPr>
          <w:p>
            <w:pPr>
              <w:jc w:val="right"/>
              <w:spacing w:after="0"/>
              <w:rPr>
                <w:sz w:val="20"/>
                <w:szCs w:val="20"/>
                <w:color w:val="auto"/>
              </w:rPr>
            </w:pPr>
            <w:r>
              <w:rPr>
                <w:rFonts w:ascii="Arial" w:cs="Arial" w:eastAsia="Arial" w:hAnsi="Arial"/>
                <w:sz w:val="18"/>
                <w:szCs w:val="18"/>
                <w:color w:val="auto"/>
              </w:rPr>
              <w:t>184,963</w:t>
            </w:r>
          </w:p>
        </w:tc>
      </w:tr>
      <w:tr>
        <w:trPr>
          <w:trHeight w:val="230"/>
        </w:trPr>
        <w:tc>
          <w:tcPr>
            <w:tcW w:w="49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Digital advertising and marketing services revenue</w:t>
            </w:r>
          </w:p>
        </w:tc>
        <w:tc>
          <w:tcPr>
            <w:tcW w:w="236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194,213</w:t>
            </w:r>
          </w:p>
        </w:tc>
        <w:tc>
          <w:tcPr>
            <w:tcW w:w="234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193,173</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181,465</w:t>
            </w:r>
          </w:p>
        </w:tc>
      </w:tr>
      <w:tr>
        <w:trPr>
          <w:trHeight w:val="223"/>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Advertising and marketing services revenue</w:t>
            </w:r>
          </w:p>
        </w:tc>
        <w:tc>
          <w:tcPr>
            <w:tcW w:w="236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275,701</w:t>
            </w:r>
          </w:p>
        </w:tc>
        <w:tc>
          <w:tcPr>
            <w:tcW w:w="234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318,977</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366,428</w:t>
            </w:r>
          </w:p>
        </w:tc>
      </w:tr>
      <w:tr>
        <w:trPr>
          <w:trHeight w:val="223"/>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Print subscription revenue</w:t>
            </w:r>
          </w:p>
        </w:tc>
        <w:tc>
          <w:tcPr>
            <w:tcW w:w="236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197,584</w:t>
            </w:r>
          </w:p>
        </w:tc>
        <w:tc>
          <w:tcPr>
            <w:tcW w:w="234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252,591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313,504</w:t>
            </w:r>
          </w:p>
        </w:tc>
      </w:tr>
      <w:tr>
        <w:trPr>
          <w:trHeight w:val="230"/>
        </w:trPr>
        <w:tc>
          <w:tcPr>
            <w:tcW w:w="49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Digital-only subscription revenue</w:t>
            </w:r>
          </w:p>
        </w:tc>
        <w:tc>
          <w:tcPr>
            <w:tcW w:w="236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84,331</w:t>
            </w:r>
          </w:p>
        </w:tc>
        <w:tc>
          <w:tcPr>
            <w:tcW w:w="234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60,700</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40,120</w:t>
            </w:r>
          </w:p>
        </w:tc>
      </w:tr>
      <w:tr>
        <w:trPr>
          <w:trHeight w:val="223"/>
        </w:trPr>
        <w:tc>
          <w:tcPr>
            <w:tcW w:w="4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Subscription Revenue</w:t>
            </w:r>
          </w:p>
        </w:tc>
        <w:tc>
          <w:tcPr>
            <w:tcW w:w="236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281,915</w:t>
            </w:r>
          </w:p>
        </w:tc>
        <w:tc>
          <w:tcPr>
            <w:tcW w:w="234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313,291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353,624</w:t>
            </w:r>
          </w:p>
        </w:tc>
      </w:tr>
      <w:tr>
        <w:trPr>
          <w:trHeight w:val="223"/>
        </w:trPr>
        <w:tc>
          <w:tcPr>
            <w:tcW w:w="4980" w:type="dxa"/>
            <w:vAlign w:val="bottom"/>
          </w:tcPr>
          <w:p>
            <w:pPr>
              <w:ind w:left="140"/>
              <w:spacing w:after="0"/>
              <w:rPr>
                <w:sz w:val="20"/>
                <w:szCs w:val="20"/>
                <w:color w:val="auto"/>
              </w:rPr>
            </w:pPr>
            <w:r>
              <w:rPr>
                <w:rFonts w:ascii="Arial" w:cs="Arial" w:eastAsia="Arial" w:hAnsi="Arial"/>
                <w:sz w:val="18"/>
                <w:szCs w:val="18"/>
                <w:color w:val="auto"/>
              </w:rPr>
              <w:t>Print other revenue</w:t>
            </w:r>
          </w:p>
        </w:tc>
        <w:tc>
          <w:tcPr>
            <w:tcW w:w="2360" w:type="dxa"/>
            <w:vAlign w:val="bottom"/>
          </w:tcPr>
          <w:p>
            <w:pPr>
              <w:jc w:val="right"/>
              <w:ind w:right="790"/>
              <w:spacing w:after="0"/>
              <w:rPr>
                <w:sz w:val="20"/>
                <w:szCs w:val="20"/>
                <w:color w:val="auto"/>
              </w:rPr>
            </w:pPr>
            <w:r>
              <w:rPr>
                <w:rFonts w:ascii="Arial" w:cs="Arial" w:eastAsia="Arial" w:hAnsi="Arial"/>
                <w:sz w:val="18"/>
                <w:szCs w:val="18"/>
                <w:color w:val="auto"/>
              </w:rPr>
              <w:t>33,257</w:t>
            </w:r>
          </w:p>
        </w:tc>
        <w:tc>
          <w:tcPr>
            <w:tcW w:w="2340" w:type="dxa"/>
            <w:vAlign w:val="bottom"/>
          </w:tcPr>
          <w:p>
            <w:pPr>
              <w:jc w:val="right"/>
              <w:ind w:right="790"/>
              <w:spacing w:after="0"/>
              <w:rPr>
                <w:sz w:val="20"/>
                <w:szCs w:val="20"/>
                <w:color w:val="auto"/>
              </w:rPr>
            </w:pPr>
            <w:r>
              <w:rPr>
                <w:rFonts w:ascii="Arial" w:cs="Arial" w:eastAsia="Arial" w:hAnsi="Arial"/>
                <w:sz w:val="18"/>
                <w:szCs w:val="18"/>
                <w:color w:val="auto"/>
              </w:rPr>
              <w:t>39,508</w:t>
            </w:r>
          </w:p>
        </w:tc>
        <w:tc>
          <w:tcPr>
            <w:tcW w:w="1560" w:type="dxa"/>
            <w:vAlign w:val="bottom"/>
          </w:tcPr>
          <w:p>
            <w:pPr>
              <w:jc w:val="right"/>
              <w:spacing w:after="0"/>
              <w:rPr>
                <w:sz w:val="20"/>
                <w:szCs w:val="20"/>
                <w:color w:val="auto"/>
              </w:rPr>
            </w:pPr>
            <w:r>
              <w:rPr>
                <w:rFonts w:ascii="Arial" w:cs="Arial" w:eastAsia="Arial" w:hAnsi="Arial"/>
                <w:sz w:val="18"/>
                <w:szCs w:val="18"/>
                <w:color w:val="auto"/>
              </w:rPr>
              <w:t>42,962</w:t>
            </w:r>
          </w:p>
        </w:tc>
      </w:tr>
      <w:tr>
        <w:trPr>
          <w:trHeight w:val="230"/>
        </w:trPr>
        <w:tc>
          <w:tcPr>
            <w:tcW w:w="49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Digital other revenue</w:t>
            </w:r>
          </w:p>
        </w:tc>
        <w:tc>
          <w:tcPr>
            <w:tcW w:w="236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20,507</w:t>
            </w:r>
          </w:p>
        </w:tc>
        <w:tc>
          <w:tcPr>
            <w:tcW w:w="234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19,362</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17,955</w:t>
            </w:r>
          </w:p>
        </w:tc>
      </w:tr>
      <w:tr>
        <w:trPr>
          <w:trHeight w:val="223"/>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revenue</w:t>
            </w:r>
          </w:p>
        </w:tc>
        <w:tc>
          <w:tcPr>
            <w:tcW w:w="236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53,764</w:t>
            </w:r>
          </w:p>
        </w:tc>
        <w:tc>
          <w:tcPr>
            <w:tcW w:w="234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58,870</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60,917</w:t>
            </w:r>
          </w:p>
        </w:tc>
      </w:tr>
      <w:tr>
        <w:trPr>
          <w:trHeight w:val="248"/>
        </w:trPr>
        <w:tc>
          <w:tcPr>
            <w:tcW w:w="4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operating revenue</w:t>
            </w:r>
          </w:p>
        </w:tc>
        <w:tc>
          <w:tcPr>
            <w:tcW w:w="236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611,380</w:t>
            </w:r>
          </w:p>
        </w:tc>
        <w:tc>
          <w:tcPr>
            <w:tcW w:w="234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691,138</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780,969</w:t>
            </w:r>
          </w:p>
        </w:tc>
      </w:tr>
      <w:tr>
        <w:trPr>
          <w:trHeight w:val="20"/>
        </w:trPr>
        <w:tc>
          <w:tcPr>
            <w:tcW w:w="4980" w:type="dxa"/>
            <w:vAlign w:val="bottom"/>
            <w:tcBorders>
              <w:top w:val="single" w:sz="8" w:color="CCEEFF"/>
              <w:bottom w:val="single" w:sz="8" w:color="auto"/>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c>
          <w:tcPr>
            <w:tcW w:w="23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Contract Liabilities: </w:t>
      </w:r>
      <w:r>
        <w:rPr>
          <w:rFonts w:ascii="Arial" w:cs="Arial" w:eastAsia="Arial" w:hAnsi="Arial"/>
          <w:sz w:val="18"/>
          <w:szCs w:val="18"/>
          <w:color w:val="auto"/>
        </w:rPr>
        <w:t>The Company’s primary source of unearned revenue is from subscriptions paid in advance of the service provided.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expects to recognize the revenue related to unsatisfied performance obligations over the next twelve months in accordance with the terms of the subscriptions and other contracts with customers. The unearned revenue balances described herein are the Company's only contract liability. Unearned revenue was $31.8 million as of September 29, 2024, $40.8 million as of September 24, 2023, and $49.9 million as of September 25, 2022. Revenue recognized in 2024, 2023 and 2022, that was included in the contract liability as of September 24, 2023,</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September 25, 2022 and September 26, 2021 was $38.5 million, $47.2 million, and $54.7 million, respectively.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Accounts receivable, excluding allowance for credit losses and contract assets, was $67.2 million, $74.4 million, $74.8 million as of September 29, 2024, September 24, 2023, and September 25, 2022 respectively. See Note 15 for Allowance for credit losses.</w:t>
      </w:r>
    </w:p>
    <w:p>
      <w:pPr>
        <w:spacing w:after="0" w:line="12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Practical expedients: </w:t>
      </w:r>
      <w:r>
        <w:rPr>
          <w:rFonts w:ascii="Arial" w:cs="Arial" w:eastAsia="Arial" w:hAnsi="Arial"/>
          <w:sz w:val="18"/>
          <w:szCs w:val="18"/>
          <w:color w:val="auto"/>
        </w:rPr>
        <w:t>Sales commissions are expensed as incurred as the associated contractual periods are one year or less. These costs</w:t>
      </w:r>
      <w:r>
        <w:rPr>
          <w:rFonts w:ascii="Arial" w:cs="Arial" w:eastAsia="Arial" w:hAnsi="Arial"/>
          <w:sz w:val="18"/>
          <w:szCs w:val="18"/>
          <w:i w:val="1"/>
          <w:iCs w:val="1"/>
          <w:color w:val="auto"/>
        </w:rPr>
        <w:t xml:space="preserve"> </w:t>
      </w:r>
      <w:r>
        <w:rPr>
          <w:rFonts w:ascii="Arial" w:cs="Arial" w:eastAsia="Arial" w:hAnsi="Arial"/>
          <w:sz w:val="18"/>
          <w:szCs w:val="18"/>
          <w:color w:val="auto"/>
        </w:rPr>
        <w:t>are recorded within compensation. The vast majority of our contracts have original expected lengths of one year or less and revenue is earned at a rate and amount that corresponds directly with the value to the customer.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7"/>
          <w:szCs w:val="17"/>
          <w:b w:val="1"/>
          <w:bCs w:val="1"/>
          <w:color w:val="auto"/>
        </w:rPr>
        <w:t>INVESTMENTS IN ASSOCIATED COMPANIES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TNI Partners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Tucson, Arizona, TNI, acting as agent for our subsidiary, Star Publishing Company (“Star Publishing”) and Citizen Publishing Company (“Citizen”), a subsidiary of Gannett Co. Inc., is responsible for printing, delivery, advertising and subscription activities of the </w:t>
      </w:r>
      <w:r>
        <w:rPr>
          <w:rFonts w:ascii="Arial" w:cs="Arial" w:eastAsia="Arial" w:hAnsi="Arial"/>
          <w:sz w:val="18"/>
          <w:szCs w:val="18"/>
          <w:i w:val="1"/>
          <w:iCs w:val="1"/>
          <w:color w:val="auto"/>
        </w:rPr>
        <w:t>Arizona Daily</w:t>
      </w:r>
      <w:r>
        <w:rPr>
          <w:rFonts w:ascii="Arial" w:cs="Arial" w:eastAsia="Arial" w:hAnsi="Arial"/>
          <w:sz w:val="18"/>
          <w:szCs w:val="18"/>
          <w:color w:val="auto"/>
        </w:rPr>
        <w:t xml:space="preserve"> </w:t>
      </w:r>
      <w:r>
        <w:rPr>
          <w:rFonts w:ascii="Arial" w:cs="Arial" w:eastAsia="Arial" w:hAnsi="Arial"/>
          <w:sz w:val="18"/>
          <w:szCs w:val="18"/>
          <w:i w:val="1"/>
          <w:iCs w:val="1"/>
          <w:color w:val="auto"/>
        </w:rPr>
        <w:t>Star</w:t>
      </w:r>
      <w:r>
        <w:rPr>
          <w:rFonts w:ascii="Arial" w:cs="Arial" w:eastAsia="Arial" w:hAnsi="Arial"/>
          <w:sz w:val="18"/>
          <w:szCs w:val="18"/>
          <w:color w:val="auto"/>
        </w:rPr>
        <w:t>, as well as the related digital platforms and specialty publications. TNI collects all receipts and records income and pays substantially all</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expenses incident to the partnership's operations and publication of the newspaper and other media. Income or loss of TNI is allocated equally to Star Publishing and Citizen.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Summarized financial information of TNI is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4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244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jc w:val="right"/>
              <w:ind w:right="350"/>
              <w:spacing w:after="0" w:line="189" w:lineRule="exact"/>
              <w:rPr>
                <w:sz w:val="20"/>
                <w:szCs w:val="20"/>
                <w:color w:val="auto"/>
              </w:rPr>
            </w:pPr>
            <w:r>
              <w:rPr>
                <w:rFonts w:ascii="Arial" w:cs="Arial" w:eastAsia="Arial" w:hAnsi="Arial"/>
                <w:sz w:val="18"/>
                <w:szCs w:val="18"/>
                <w:color w:val="auto"/>
              </w:rPr>
              <w:t>September 29</w:t>
            </w:r>
          </w:p>
        </w:tc>
        <w:tc>
          <w:tcPr>
            <w:tcW w:w="13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September 24</w:t>
            </w:r>
          </w:p>
        </w:tc>
        <w:tc>
          <w:tcPr>
            <w:tcW w:w="0" w:type="dxa"/>
            <w:vAlign w:val="bottom"/>
          </w:tcPr>
          <w:p>
            <w:pPr>
              <w:spacing w:after="0"/>
              <w:rPr>
                <w:sz w:val="1"/>
                <w:szCs w:val="1"/>
                <w:color w:val="auto"/>
              </w:rPr>
            </w:pPr>
          </w:p>
        </w:tc>
      </w:tr>
      <w:tr>
        <w:trPr>
          <w:trHeight w:val="243"/>
        </w:trPr>
        <w:tc>
          <w:tcPr>
            <w:tcW w:w="5740" w:type="dxa"/>
            <w:vAlign w:val="bottom"/>
            <w:tcBorders>
              <w:bottom w:val="single" w:sz="8" w:color="auto"/>
            </w:tcBorders>
            <w:vMerge w:val="continue"/>
          </w:tcPr>
          <w:p>
            <w:pPr>
              <w:spacing w:after="0"/>
              <w:rPr>
                <w:sz w:val="21"/>
                <w:szCs w:val="21"/>
                <w:color w:val="auto"/>
              </w:rPr>
            </w:pPr>
          </w:p>
        </w:tc>
        <w:tc>
          <w:tcPr>
            <w:tcW w:w="24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2024</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479"/>
        </w:trPr>
        <w:tc>
          <w:tcPr>
            <w:tcW w:w="5740" w:type="dxa"/>
            <w:vAlign w:val="bottom"/>
          </w:tcPr>
          <w:p>
            <w:pPr>
              <w:ind w:left="20"/>
              <w:spacing w:after="0"/>
              <w:rPr>
                <w:sz w:val="20"/>
                <w:szCs w:val="20"/>
                <w:color w:val="auto"/>
              </w:rPr>
            </w:pPr>
            <w:r>
              <w:rPr>
                <w:rFonts w:ascii="Arial" w:cs="Arial" w:eastAsia="Arial" w:hAnsi="Arial"/>
                <w:sz w:val="18"/>
                <w:szCs w:val="18"/>
                <w:color w:val="auto"/>
              </w:rPr>
              <w:t>ASSETS</w:t>
            </w:r>
          </w:p>
        </w:tc>
        <w:tc>
          <w:tcPr>
            <w:tcW w:w="2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DFF"/>
          </w:tcPr>
          <w:p>
            <w:pPr>
              <w:ind w:left="20"/>
              <w:spacing w:after="0"/>
              <w:rPr>
                <w:sz w:val="20"/>
                <w:szCs w:val="20"/>
                <w:color w:val="auto"/>
              </w:rPr>
            </w:pPr>
            <w:r>
              <w:rPr>
                <w:rFonts w:ascii="Arial" w:cs="Arial" w:eastAsia="Arial" w:hAnsi="Arial"/>
                <w:sz w:val="18"/>
                <w:szCs w:val="18"/>
                <w:color w:val="auto"/>
              </w:rPr>
              <w:t>Current assets</w:t>
            </w:r>
          </w:p>
        </w:tc>
        <w:tc>
          <w:tcPr>
            <w:tcW w:w="2440" w:type="dxa"/>
            <w:vAlign w:val="bottom"/>
            <w:shd w:val="clear" w:color="auto" w:fill="CCEDFF"/>
          </w:tcPr>
          <w:p>
            <w:pPr>
              <w:spacing w:after="0"/>
              <w:rPr>
                <w:sz w:val="19"/>
                <w:szCs w:val="19"/>
                <w:color w:val="auto"/>
              </w:rPr>
            </w:pPr>
          </w:p>
        </w:tc>
        <w:tc>
          <w:tcPr>
            <w:tcW w:w="168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1,648</w:t>
            </w:r>
          </w:p>
        </w:tc>
        <w:tc>
          <w:tcPr>
            <w:tcW w:w="13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1,901</w:t>
            </w:r>
          </w:p>
        </w:tc>
        <w:tc>
          <w:tcPr>
            <w:tcW w:w="0" w:type="dxa"/>
            <w:vAlign w:val="bottom"/>
          </w:tcPr>
          <w:p>
            <w:pPr>
              <w:spacing w:after="0"/>
              <w:rPr>
                <w:sz w:val="1"/>
                <w:szCs w:val="1"/>
                <w:color w:val="auto"/>
              </w:rPr>
            </w:pPr>
          </w:p>
        </w:tc>
      </w:tr>
      <w:tr>
        <w:trPr>
          <w:trHeight w:val="229"/>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Investments and other assets</w:t>
            </w:r>
          </w:p>
        </w:tc>
        <w:tc>
          <w:tcPr>
            <w:tcW w:w="24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1,020</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Total assets</w:t>
            </w:r>
          </w:p>
        </w:tc>
        <w:tc>
          <w:tcPr>
            <w:tcW w:w="2440" w:type="dxa"/>
            <w:vAlign w:val="bottom"/>
            <w:tcBorders>
              <w:bottom w:val="single" w:sz="8" w:color="auto"/>
            </w:tcBorders>
            <w:shd w:val="clear" w:color="auto" w:fill="CCEDFF"/>
          </w:tcPr>
          <w:p>
            <w:pPr>
              <w:spacing w:after="0"/>
              <w:rPr>
                <w:sz w:val="21"/>
                <w:szCs w:val="21"/>
                <w:color w:val="auto"/>
              </w:rPr>
            </w:pPr>
          </w:p>
        </w:tc>
        <w:tc>
          <w:tcPr>
            <w:tcW w:w="1680" w:type="dxa"/>
            <w:vAlign w:val="bottom"/>
            <w:tcBorders>
              <w:bottom w:val="single" w:sz="8" w:color="auto"/>
            </w:tcBorders>
            <w:shd w:val="clear" w:color="auto" w:fill="CCEDFF"/>
          </w:tcPr>
          <w:p>
            <w:pPr>
              <w:jc w:val="right"/>
              <w:ind w:right="410"/>
              <w:spacing w:after="0"/>
              <w:rPr>
                <w:sz w:val="20"/>
                <w:szCs w:val="20"/>
                <w:color w:val="auto"/>
              </w:rPr>
            </w:pPr>
            <w:r>
              <w:rPr>
                <w:rFonts w:ascii="Arial" w:cs="Arial" w:eastAsia="Arial" w:hAnsi="Arial"/>
                <w:sz w:val="18"/>
                <w:szCs w:val="18"/>
                <w:color w:val="auto"/>
              </w:rPr>
              <w:t>2,668</w:t>
            </w:r>
          </w:p>
        </w:tc>
        <w:tc>
          <w:tcPr>
            <w:tcW w:w="13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3,141</w:t>
            </w:r>
          </w:p>
        </w:tc>
        <w:tc>
          <w:tcPr>
            <w:tcW w:w="0" w:type="dxa"/>
            <w:vAlign w:val="bottom"/>
          </w:tcPr>
          <w:p>
            <w:pPr>
              <w:spacing w:after="0"/>
              <w:rPr>
                <w:sz w:val="1"/>
                <w:szCs w:val="1"/>
                <w:color w:val="auto"/>
              </w:rPr>
            </w:pPr>
          </w:p>
        </w:tc>
      </w:tr>
      <w:tr>
        <w:trPr>
          <w:trHeight w:val="20"/>
        </w:trPr>
        <w:tc>
          <w:tcPr>
            <w:tcW w:w="5740" w:type="dxa"/>
            <w:vAlign w:val="bottom"/>
            <w:tcBorders>
              <w:top w:val="single" w:sz="8" w:color="CCEDFF"/>
              <w:bottom w:val="single" w:sz="8" w:color="auto"/>
            </w:tcBorders>
          </w:tcPr>
          <w:p>
            <w:pPr>
              <w:spacing w:after="0" w:line="20" w:lineRule="exact"/>
              <w:rPr>
                <w:sz w:val="1"/>
                <w:szCs w:val="1"/>
                <w:color w:val="auto"/>
              </w:rPr>
            </w:pPr>
          </w:p>
        </w:tc>
        <w:tc>
          <w:tcPr>
            <w:tcW w:w="2440" w:type="dxa"/>
            <w:vAlign w:val="bottom"/>
            <w:tcBorders>
              <w:top w:val="single" w:sz="8" w:color="CCEDFF"/>
              <w:bottom w:val="single" w:sz="8" w:color="auto"/>
            </w:tcBorders>
          </w:tcPr>
          <w:p>
            <w:pPr>
              <w:spacing w:after="0" w:line="20" w:lineRule="exact"/>
              <w:rPr>
                <w:sz w:val="1"/>
                <w:szCs w:val="1"/>
                <w:color w:val="auto"/>
              </w:rPr>
            </w:pPr>
          </w:p>
        </w:tc>
        <w:tc>
          <w:tcPr>
            <w:tcW w:w="1680" w:type="dxa"/>
            <w:vAlign w:val="bottom"/>
            <w:tcBorders>
              <w:top w:val="single" w:sz="8" w:color="CCEDFF"/>
              <w:bottom w:val="single" w:sz="8" w:color="auto"/>
            </w:tcBorders>
          </w:tcPr>
          <w:p>
            <w:pPr>
              <w:spacing w:after="0" w:line="20" w:lineRule="exact"/>
              <w:rPr>
                <w:sz w:val="1"/>
                <w:szCs w:val="1"/>
                <w:color w:val="auto"/>
              </w:rPr>
            </w:pPr>
          </w:p>
        </w:tc>
        <w:tc>
          <w:tcPr>
            <w:tcW w:w="1380" w:type="dxa"/>
            <w:vAlign w:val="bottom"/>
            <w:tcBorders>
              <w:top w:val="single" w:sz="8" w:color="CCED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DFF"/>
          </w:tcPr>
          <w:p>
            <w:pPr>
              <w:ind w:left="20"/>
              <w:spacing w:after="0"/>
              <w:rPr>
                <w:sz w:val="20"/>
                <w:szCs w:val="20"/>
                <w:color w:val="auto"/>
              </w:rPr>
            </w:pPr>
            <w:r>
              <w:rPr>
                <w:rFonts w:ascii="Arial" w:cs="Arial" w:eastAsia="Arial" w:hAnsi="Arial"/>
                <w:sz w:val="18"/>
                <w:szCs w:val="18"/>
                <w:color w:val="auto"/>
              </w:rPr>
              <w:t>LIABILITIES AND MEMBERS' EQUITY (DEFICIT)</w:t>
            </w:r>
          </w:p>
        </w:tc>
        <w:tc>
          <w:tcPr>
            <w:tcW w:w="2440" w:type="dxa"/>
            <w:vAlign w:val="bottom"/>
            <w:shd w:val="clear" w:color="auto" w:fill="CCEDFF"/>
          </w:tcPr>
          <w:p>
            <w:pPr>
              <w:spacing w:after="0"/>
              <w:rPr>
                <w:sz w:val="19"/>
                <w:szCs w:val="19"/>
                <w:color w:val="auto"/>
              </w:rPr>
            </w:pPr>
          </w:p>
        </w:tc>
        <w:tc>
          <w:tcPr>
            <w:tcW w:w="1680" w:type="dxa"/>
            <w:vAlign w:val="bottom"/>
            <w:shd w:val="clear" w:color="auto" w:fill="CCEDFF"/>
          </w:tcPr>
          <w:p>
            <w:pPr>
              <w:spacing w:after="0"/>
              <w:rPr>
                <w:sz w:val="19"/>
                <w:szCs w:val="19"/>
                <w:color w:val="auto"/>
              </w:rPr>
            </w:pPr>
          </w:p>
        </w:tc>
        <w:tc>
          <w:tcPr>
            <w:tcW w:w="138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440" w:type="dxa"/>
            <w:vAlign w:val="bottom"/>
          </w:tcPr>
          <w:p>
            <w:pPr>
              <w:spacing w:after="0"/>
              <w:rPr>
                <w:sz w:val="19"/>
                <w:szCs w:val="19"/>
                <w:color w:val="auto"/>
              </w:rPr>
            </w:pPr>
          </w:p>
        </w:tc>
        <w:tc>
          <w:tcPr>
            <w:tcW w:w="1680" w:type="dxa"/>
            <w:vAlign w:val="bottom"/>
          </w:tcPr>
          <w:p>
            <w:pPr>
              <w:jc w:val="right"/>
              <w:ind w:right="410"/>
              <w:spacing w:after="0"/>
              <w:rPr>
                <w:sz w:val="20"/>
                <w:szCs w:val="20"/>
                <w:color w:val="auto"/>
              </w:rPr>
            </w:pPr>
            <w:r>
              <w:rPr>
                <w:rFonts w:ascii="Arial" w:cs="Arial" w:eastAsia="Arial" w:hAnsi="Arial"/>
                <w:sz w:val="18"/>
                <w:szCs w:val="18"/>
                <w:color w:val="auto"/>
              </w:rPr>
              <w:t>3,512</w:t>
            </w:r>
          </w:p>
        </w:tc>
        <w:tc>
          <w:tcPr>
            <w:tcW w:w="1380" w:type="dxa"/>
            <w:vAlign w:val="bottom"/>
          </w:tcPr>
          <w:p>
            <w:pPr>
              <w:jc w:val="right"/>
              <w:spacing w:after="0"/>
              <w:rPr>
                <w:sz w:val="20"/>
                <w:szCs w:val="20"/>
                <w:color w:val="auto"/>
              </w:rPr>
            </w:pPr>
            <w:r>
              <w:rPr>
                <w:rFonts w:ascii="Arial" w:cs="Arial" w:eastAsia="Arial" w:hAnsi="Arial"/>
                <w:sz w:val="18"/>
                <w:szCs w:val="18"/>
                <w:color w:val="auto"/>
              </w:rPr>
              <w:t>3,837</w:t>
            </w:r>
          </w:p>
        </w:tc>
        <w:tc>
          <w:tcPr>
            <w:tcW w:w="0" w:type="dxa"/>
            <w:vAlign w:val="bottom"/>
          </w:tcPr>
          <w:p>
            <w:pPr>
              <w:spacing w:after="0"/>
              <w:rPr>
                <w:sz w:val="1"/>
                <w:szCs w:val="1"/>
                <w:color w:val="auto"/>
              </w:rPr>
            </w:pPr>
          </w:p>
        </w:tc>
      </w:tr>
      <w:tr>
        <w:trPr>
          <w:trHeight w:val="229"/>
        </w:trPr>
        <w:tc>
          <w:tcPr>
            <w:tcW w:w="574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Members' equity (deficit)</w:t>
            </w:r>
          </w:p>
        </w:tc>
        <w:tc>
          <w:tcPr>
            <w:tcW w:w="2440" w:type="dxa"/>
            <w:vAlign w:val="bottom"/>
            <w:tcBorders>
              <w:bottom w:val="single" w:sz="8" w:color="auto"/>
            </w:tcBorders>
            <w:shd w:val="clear" w:color="auto" w:fill="CCEDFF"/>
          </w:tcPr>
          <w:p>
            <w:pPr>
              <w:spacing w:after="0"/>
              <w:rPr>
                <w:sz w:val="19"/>
                <w:szCs w:val="19"/>
                <w:color w:val="auto"/>
              </w:rPr>
            </w:pPr>
          </w:p>
        </w:tc>
        <w:tc>
          <w:tcPr>
            <w:tcW w:w="1680" w:type="dxa"/>
            <w:vAlign w:val="bottom"/>
            <w:tcBorders>
              <w:bottom w:val="single" w:sz="8" w:color="auto"/>
            </w:tcBorders>
            <w:shd w:val="clear" w:color="auto" w:fill="CCEDFF"/>
          </w:tcPr>
          <w:p>
            <w:pPr>
              <w:jc w:val="right"/>
              <w:ind w:right="350"/>
              <w:spacing w:after="0"/>
              <w:rPr>
                <w:sz w:val="20"/>
                <w:szCs w:val="20"/>
                <w:color w:val="auto"/>
              </w:rPr>
            </w:pPr>
            <w:r>
              <w:rPr>
                <w:rFonts w:ascii="Arial" w:cs="Arial" w:eastAsia="Arial" w:hAnsi="Arial"/>
                <w:sz w:val="18"/>
                <w:szCs w:val="18"/>
                <w:color w:val="auto"/>
              </w:rPr>
              <w:t>(844)</w:t>
            </w:r>
          </w:p>
        </w:tc>
        <w:tc>
          <w:tcPr>
            <w:tcW w:w="13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liabilities and members' equity (deficit)</w:t>
            </w:r>
          </w:p>
        </w:tc>
        <w:tc>
          <w:tcPr>
            <w:tcW w:w="24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2,668</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3,141</w:t>
            </w:r>
          </w:p>
        </w:tc>
        <w:tc>
          <w:tcPr>
            <w:tcW w:w="0" w:type="dxa"/>
            <w:vAlign w:val="bottom"/>
          </w:tcPr>
          <w:p>
            <w:pPr>
              <w:spacing w:after="0"/>
              <w:rPr>
                <w:sz w:val="1"/>
                <w:szCs w:val="1"/>
                <w:color w:val="auto"/>
              </w:rPr>
            </w:pPr>
          </w:p>
        </w:tc>
      </w:tr>
      <w:tr>
        <w:trPr>
          <w:trHeight w:val="20"/>
        </w:trPr>
        <w:tc>
          <w:tcPr>
            <w:tcW w:w="574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4"/>
        </w:trPr>
        <w:tc>
          <w:tcPr>
            <w:tcW w:w="5740" w:type="dxa"/>
            <w:vAlign w:val="bottom"/>
          </w:tcPr>
          <w:p>
            <w:pPr>
              <w:spacing w:after="0"/>
              <w:rPr>
                <w:sz w:val="20"/>
                <w:szCs w:val="20"/>
                <w:color w:val="auto"/>
              </w:rPr>
            </w:pPr>
            <w:r>
              <w:rPr>
                <w:rFonts w:ascii="Arial" w:cs="Arial" w:eastAsia="Arial" w:hAnsi="Arial"/>
                <w:sz w:val="18"/>
                <w:szCs w:val="18"/>
                <w:color w:val="auto"/>
              </w:rPr>
              <w:t>Summarized results of TNI are as follows:</w:t>
            </w:r>
          </w:p>
        </w:tc>
        <w:tc>
          <w:tcPr>
            <w:tcW w:w="2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574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2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2024</w:t>
            </w:r>
          </w:p>
        </w:tc>
        <w:tc>
          <w:tcPr>
            <w:tcW w:w="1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2023</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50"/>
        </w:trPr>
        <w:tc>
          <w:tcPr>
            <w:tcW w:w="574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DFF"/>
          </w:tcPr>
          <w:p>
            <w:pPr>
              <w:ind w:left="20"/>
              <w:spacing w:after="0"/>
              <w:rPr>
                <w:sz w:val="20"/>
                <w:szCs w:val="20"/>
                <w:color w:val="auto"/>
              </w:rPr>
            </w:pPr>
            <w:r>
              <w:rPr>
                <w:rFonts w:ascii="Arial" w:cs="Arial" w:eastAsia="Arial" w:hAnsi="Arial"/>
                <w:sz w:val="18"/>
                <w:szCs w:val="18"/>
                <w:color w:val="auto"/>
              </w:rPr>
              <w:t>Operating revenue</w:t>
            </w:r>
          </w:p>
        </w:tc>
        <w:tc>
          <w:tcPr>
            <w:tcW w:w="2440" w:type="dxa"/>
            <w:vAlign w:val="bottom"/>
            <w:shd w:val="clear" w:color="auto" w:fill="CCEDFF"/>
          </w:tcPr>
          <w:p>
            <w:pPr>
              <w:jc w:val="right"/>
              <w:ind w:right="90"/>
              <w:spacing w:after="0"/>
              <w:rPr>
                <w:sz w:val="20"/>
                <w:szCs w:val="20"/>
                <w:color w:val="auto"/>
              </w:rPr>
            </w:pPr>
            <w:r>
              <w:rPr>
                <w:rFonts w:ascii="Arial" w:cs="Arial" w:eastAsia="Arial" w:hAnsi="Arial"/>
                <w:sz w:val="18"/>
                <w:szCs w:val="18"/>
                <w:color w:val="auto"/>
              </w:rPr>
              <w:t>27,360</w:t>
            </w:r>
          </w:p>
        </w:tc>
        <w:tc>
          <w:tcPr>
            <w:tcW w:w="1680" w:type="dxa"/>
            <w:vAlign w:val="bottom"/>
            <w:shd w:val="clear" w:color="auto" w:fill="CCEDFF"/>
          </w:tcPr>
          <w:p>
            <w:pPr>
              <w:jc w:val="right"/>
              <w:ind w:right="190"/>
              <w:spacing w:after="0"/>
              <w:rPr>
                <w:sz w:val="20"/>
                <w:szCs w:val="20"/>
                <w:color w:val="auto"/>
              </w:rPr>
            </w:pPr>
            <w:r>
              <w:rPr>
                <w:rFonts w:ascii="Arial" w:cs="Arial" w:eastAsia="Arial" w:hAnsi="Arial"/>
                <w:sz w:val="18"/>
                <w:szCs w:val="18"/>
                <w:color w:val="auto"/>
              </w:rPr>
              <w:t>31,076</w:t>
            </w:r>
          </w:p>
        </w:tc>
        <w:tc>
          <w:tcPr>
            <w:tcW w:w="13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34,153</w:t>
            </w:r>
          </w:p>
        </w:tc>
        <w:tc>
          <w:tcPr>
            <w:tcW w:w="0" w:type="dxa"/>
            <w:vAlign w:val="bottom"/>
          </w:tcPr>
          <w:p>
            <w:pPr>
              <w:spacing w:after="0"/>
              <w:rPr>
                <w:sz w:val="1"/>
                <w:szCs w:val="1"/>
                <w:color w:val="auto"/>
              </w:rPr>
            </w:pPr>
          </w:p>
        </w:tc>
      </w:tr>
      <w:tr>
        <w:trPr>
          <w:trHeight w:val="230"/>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expenses</w:t>
            </w:r>
          </w:p>
        </w:tc>
        <w:tc>
          <w:tcPr>
            <w:tcW w:w="24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20,609</w:t>
            </w:r>
          </w:p>
        </w:tc>
        <w:tc>
          <w:tcPr>
            <w:tcW w:w="1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24,446</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25,445</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Operating income</w:t>
            </w:r>
          </w:p>
        </w:tc>
        <w:tc>
          <w:tcPr>
            <w:tcW w:w="2440" w:type="dxa"/>
            <w:vAlign w:val="bottom"/>
            <w:tcBorders>
              <w:bottom w:val="single" w:sz="8" w:color="auto"/>
            </w:tcBorders>
            <w:shd w:val="clear" w:color="auto" w:fill="CCEDFF"/>
          </w:tcPr>
          <w:p>
            <w:pPr>
              <w:jc w:val="right"/>
              <w:ind w:right="90"/>
              <w:spacing w:after="0"/>
              <w:rPr>
                <w:sz w:val="20"/>
                <w:szCs w:val="20"/>
                <w:color w:val="auto"/>
              </w:rPr>
            </w:pPr>
            <w:r>
              <w:rPr>
                <w:rFonts w:ascii="Arial" w:cs="Arial" w:eastAsia="Arial" w:hAnsi="Arial"/>
                <w:sz w:val="18"/>
                <w:szCs w:val="18"/>
                <w:color w:val="auto"/>
              </w:rPr>
              <w:t>6,751</w:t>
            </w:r>
          </w:p>
        </w:tc>
        <w:tc>
          <w:tcPr>
            <w:tcW w:w="1680" w:type="dxa"/>
            <w:vAlign w:val="bottom"/>
            <w:tcBorders>
              <w:bottom w:val="single" w:sz="8" w:color="auto"/>
            </w:tcBorders>
            <w:shd w:val="clear" w:color="auto" w:fill="CCEDFF"/>
          </w:tcPr>
          <w:p>
            <w:pPr>
              <w:jc w:val="right"/>
              <w:ind w:right="190"/>
              <w:spacing w:after="0"/>
              <w:rPr>
                <w:sz w:val="20"/>
                <w:szCs w:val="20"/>
                <w:color w:val="auto"/>
              </w:rPr>
            </w:pPr>
            <w:r>
              <w:rPr>
                <w:rFonts w:ascii="Arial" w:cs="Arial" w:eastAsia="Arial" w:hAnsi="Arial"/>
                <w:sz w:val="18"/>
                <w:szCs w:val="18"/>
                <w:color w:val="auto"/>
              </w:rPr>
              <w:t>6,630</w:t>
            </w:r>
          </w:p>
        </w:tc>
        <w:tc>
          <w:tcPr>
            <w:tcW w:w="13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8,708</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w:t>
            </w:r>
          </w:p>
        </w:tc>
        <w:tc>
          <w:tcPr>
            <w:tcW w:w="24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6,655</w:t>
            </w:r>
          </w:p>
        </w:tc>
        <w:tc>
          <w:tcPr>
            <w:tcW w:w="1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7,142</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8,708</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Equity in earnings of TNI</w:t>
            </w:r>
          </w:p>
        </w:tc>
        <w:tc>
          <w:tcPr>
            <w:tcW w:w="2440" w:type="dxa"/>
            <w:vAlign w:val="bottom"/>
            <w:tcBorders>
              <w:bottom w:val="single" w:sz="8" w:color="auto"/>
            </w:tcBorders>
            <w:shd w:val="clear" w:color="auto" w:fill="CCEDFF"/>
          </w:tcPr>
          <w:p>
            <w:pPr>
              <w:jc w:val="right"/>
              <w:ind w:right="90"/>
              <w:spacing w:after="0"/>
              <w:rPr>
                <w:sz w:val="20"/>
                <w:szCs w:val="20"/>
                <w:color w:val="auto"/>
              </w:rPr>
            </w:pPr>
            <w:r>
              <w:rPr>
                <w:rFonts w:ascii="Arial" w:cs="Arial" w:eastAsia="Arial" w:hAnsi="Arial"/>
                <w:sz w:val="18"/>
                <w:szCs w:val="18"/>
                <w:color w:val="auto"/>
              </w:rPr>
              <w:t>3,328</w:t>
            </w:r>
          </w:p>
        </w:tc>
        <w:tc>
          <w:tcPr>
            <w:tcW w:w="1680" w:type="dxa"/>
            <w:vAlign w:val="bottom"/>
            <w:tcBorders>
              <w:bottom w:val="single" w:sz="8" w:color="auto"/>
            </w:tcBorders>
            <w:shd w:val="clear" w:color="auto" w:fill="CCEDFF"/>
          </w:tcPr>
          <w:p>
            <w:pPr>
              <w:jc w:val="right"/>
              <w:ind w:right="190"/>
              <w:spacing w:after="0"/>
              <w:rPr>
                <w:sz w:val="20"/>
                <w:szCs w:val="20"/>
                <w:color w:val="auto"/>
              </w:rPr>
            </w:pPr>
            <w:r>
              <w:rPr>
                <w:rFonts w:ascii="Arial" w:cs="Arial" w:eastAsia="Arial" w:hAnsi="Arial"/>
                <w:sz w:val="18"/>
                <w:szCs w:val="18"/>
                <w:color w:val="auto"/>
              </w:rPr>
              <w:t>3,571</w:t>
            </w:r>
          </w:p>
        </w:tc>
        <w:tc>
          <w:tcPr>
            <w:tcW w:w="13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4,354</w:t>
            </w:r>
          </w:p>
        </w:tc>
        <w:tc>
          <w:tcPr>
            <w:tcW w:w="0" w:type="dxa"/>
            <w:vAlign w:val="bottom"/>
          </w:tcPr>
          <w:p>
            <w:pPr>
              <w:spacing w:after="0"/>
              <w:rPr>
                <w:sz w:val="1"/>
                <w:szCs w:val="1"/>
                <w:color w:val="auto"/>
              </w:rPr>
            </w:pPr>
          </w:p>
        </w:tc>
      </w:tr>
      <w:tr>
        <w:trPr>
          <w:trHeight w:val="20"/>
        </w:trPr>
        <w:tc>
          <w:tcPr>
            <w:tcW w:w="5740" w:type="dxa"/>
            <w:vAlign w:val="bottom"/>
            <w:tcBorders>
              <w:top w:val="single" w:sz="8" w:color="CCEDFF"/>
              <w:bottom w:val="single" w:sz="8" w:color="auto"/>
            </w:tcBorders>
          </w:tcPr>
          <w:p>
            <w:pPr>
              <w:spacing w:after="0" w:line="20" w:lineRule="exact"/>
              <w:rPr>
                <w:sz w:val="1"/>
                <w:szCs w:val="1"/>
                <w:color w:val="auto"/>
              </w:rPr>
            </w:pPr>
          </w:p>
        </w:tc>
        <w:tc>
          <w:tcPr>
            <w:tcW w:w="2440" w:type="dxa"/>
            <w:vAlign w:val="bottom"/>
            <w:tcBorders>
              <w:top w:val="single" w:sz="8" w:color="CCEDFF"/>
              <w:bottom w:val="single" w:sz="8" w:color="auto"/>
            </w:tcBorders>
          </w:tcPr>
          <w:p>
            <w:pPr>
              <w:spacing w:after="0" w:line="20" w:lineRule="exact"/>
              <w:rPr>
                <w:sz w:val="1"/>
                <w:szCs w:val="1"/>
                <w:color w:val="auto"/>
              </w:rPr>
            </w:pPr>
          </w:p>
        </w:tc>
        <w:tc>
          <w:tcPr>
            <w:tcW w:w="1680" w:type="dxa"/>
            <w:vAlign w:val="bottom"/>
            <w:tcBorders>
              <w:top w:val="single" w:sz="8" w:color="CCEDFF"/>
              <w:bottom w:val="single" w:sz="8" w:color="auto"/>
            </w:tcBorders>
          </w:tcPr>
          <w:p>
            <w:pPr>
              <w:spacing w:after="0" w:line="20" w:lineRule="exact"/>
              <w:rPr>
                <w:sz w:val="1"/>
                <w:szCs w:val="1"/>
                <w:color w:val="auto"/>
              </w:rPr>
            </w:pPr>
          </w:p>
        </w:tc>
        <w:tc>
          <w:tcPr>
            <w:tcW w:w="1380" w:type="dxa"/>
            <w:vAlign w:val="bottom"/>
            <w:tcBorders>
              <w:top w:val="single" w:sz="8" w:color="CCED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TNI makes periodic distributions of its earnings. We received $3.2 million, $3.6 million, and $3.8 million in distributions in 2024, 2023 and 2022, respectively.</w:t>
      </w:r>
    </w:p>
    <w:p>
      <w:pPr>
        <w:spacing w:after="0" w:line="1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September 29, 2024 and September 24, 2023, the carrying value of the Company's 50% investment in TNI is $15.1 million and $15.1 million, respectively. The difference between our carrying value and our 50% share of the members' equity of TNI relates principally to goodwill of $12.4 million and other identified intangible assets of $2.3 million, certain of which have been amortized over their estimated useful lives. See Note 4.</w:t>
      </w:r>
    </w:p>
    <w:p>
      <w:pPr>
        <w:spacing w:after="0" w:line="1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TNI provides editorial services to the Company. Editorial service costs are included in other operating expenses in the Consolidated Statements of (Loss) Income and Comprehensive (Loss) Income and totaled $3.9 million, $4.4 million, and $5.2 million in 2024, 2023 and 2022,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Madison Newspapers, Inc.</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a 50% ownership interest in MNI, which publishes daily and Sunday newspapers, and other publications in Madison, Wisconsin, and other Wisconsin locations, and related digital sites. Net income or loss of MNI (after income taxes) is allocated equally to us and The Capital Times Company (“TCT”). MNI conducts its business under the trade name Capital Newspapers.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Summarized financial information of MNI is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4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jc w:val="right"/>
              <w:ind w:right="250"/>
              <w:spacing w:after="0" w:line="189" w:lineRule="exact"/>
              <w:rPr>
                <w:sz w:val="20"/>
                <w:szCs w:val="20"/>
                <w:color w:val="auto"/>
              </w:rPr>
            </w:pPr>
            <w:r>
              <w:rPr>
                <w:rFonts w:ascii="Arial" w:cs="Arial" w:eastAsia="Arial" w:hAnsi="Arial"/>
                <w:sz w:val="18"/>
                <w:szCs w:val="18"/>
                <w:color w:val="auto"/>
              </w:rPr>
              <w:t>September 29</w:t>
            </w:r>
          </w:p>
        </w:tc>
        <w:tc>
          <w:tcPr>
            <w:tcW w:w="14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September 24</w:t>
            </w:r>
          </w:p>
        </w:tc>
        <w:tc>
          <w:tcPr>
            <w:tcW w:w="0" w:type="dxa"/>
            <w:vAlign w:val="bottom"/>
          </w:tcPr>
          <w:p>
            <w:pPr>
              <w:spacing w:after="0"/>
              <w:rPr>
                <w:sz w:val="1"/>
                <w:szCs w:val="1"/>
                <w:color w:val="auto"/>
              </w:rPr>
            </w:pPr>
          </w:p>
        </w:tc>
      </w:tr>
      <w:tr>
        <w:trPr>
          <w:trHeight w:val="242"/>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17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2024</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480"/>
        </w:trPr>
        <w:tc>
          <w:tcPr>
            <w:tcW w:w="6240" w:type="dxa"/>
            <w:vAlign w:val="bottom"/>
          </w:tcPr>
          <w:p>
            <w:pPr>
              <w:ind w:left="20"/>
              <w:spacing w:after="0"/>
              <w:rPr>
                <w:sz w:val="20"/>
                <w:szCs w:val="20"/>
                <w:color w:val="auto"/>
              </w:rPr>
            </w:pPr>
            <w:r>
              <w:rPr>
                <w:rFonts w:ascii="Arial" w:cs="Arial" w:eastAsia="Arial" w:hAnsi="Arial"/>
                <w:sz w:val="18"/>
                <w:szCs w:val="18"/>
                <w:color w:val="auto"/>
              </w:rPr>
              <w:t>ASSETS</w:t>
            </w:r>
          </w:p>
        </w:tc>
        <w:tc>
          <w:tcPr>
            <w:tcW w:w="17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DFF"/>
          </w:tcPr>
          <w:p>
            <w:pPr>
              <w:ind w:left="20"/>
              <w:spacing w:after="0"/>
              <w:rPr>
                <w:sz w:val="20"/>
                <w:szCs w:val="20"/>
                <w:color w:val="auto"/>
              </w:rPr>
            </w:pPr>
            <w:r>
              <w:rPr>
                <w:rFonts w:ascii="Arial" w:cs="Arial" w:eastAsia="Arial" w:hAnsi="Arial"/>
                <w:sz w:val="18"/>
                <w:szCs w:val="18"/>
                <w:color w:val="auto"/>
              </w:rPr>
              <w:t>Current assets</w:t>
            </w:r>
          </w:p>
        </w:tc>
        <w:tc>
          <w:tcPr>
            <w:tcW w:w="1720" w:type="dxa"/>
            <w:vAlign w:val="bottom"/>
            <w:shd w:val="clear" w:color="auto" w:fill="CCEDFF"/>
          </w:tcPr>
          <w:p>
            <w:pPr>
              <w:spacing w:after="0"/>
              <w:rPr>
                <w:sz w:val="19"/>
                <w:szCs w:val="19"/>
                <w:color w:val="auto"/>
              </w:rPr>
            </w:pPr>
          </w:p>
        </w:tc>
        <w:tc>
          <w:tcPr>
            <w:tcW w:w="180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8,192</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8,916</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Investments and other assets</w:t>
            </w:r>
          </w:p>
        </w:tc>
        <w:tc>
          <w:tcPr>
            <w:tcW w:w="17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28,816</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29,267</w:t>
            </w:r>
          </w:p>
        </w:tc>
        <w:tc>
          <w:tcPr>
            <w:tcW w:w="0" w:type="dxa"/>
            <w:vAlign w:val="bottom"/>
          </w:tcPr>
          <w:p>
            <w:pPr>
              <w:spacing w:after="0"/>
              <w:rPr>
                <w:sz w:val="1"/>
                <w:szCs w:val="1"/>
                <w:color w:val="auto"/>
              </w:rPr>
            </w:pPr>
          </w:p>
        </w:tc>
      </w:tr>
      <w:tr>
        <w:trPr>
          <w:trHeight w:val="248"/>
        </w:trPr>
        <w:tc>
          <w:tcPr>
            <w:tcW w:w="624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Total assets</w:t>
            </w:r>
          </w:p>
        </w:tc>
        <w:tc>
          <w:tcPr>
            <w:tcW w:w="1720" w:type="dxa"/>
            <w:vAlign w:val="bottom"/>
            <w:tcBorders>
              <w:bottom w:val="single" w:sz="8" w:color="auto"/>
            </w:tcBorders>
            <w:shd w:val="clear" w:color="auto" w:fill="CCEDFF"/>
          </w:tcPr>
          <w:p>
            <w:pPr>
              <w:spacing w:after="0"/>
              <w:rPr>
                <w:sz w:val="21"/>
                <w:szCs w:val="21"/>
                <w:color w:val="auto"/>
              </w:rPr>
            </w:pPr>
          </w:p>
        </w:tc>
        <w:tc>
          <w:tcPr>
            <w:tcW w:w="1800" w:type="dxa"/>
            <w:vAlign w:val="bottom"/>
            <w:tcBorders>
              <w:bottom w:val="single" w:sz="8" w:color="auto"/>
            </w:tcBorders>
            <w:shd w:val="clear" w:color="auto" w:fill="CCEDFF"/>
          </w:tcPr>
          <w:p>
            <w:pPr>
              <w:jc w:val="right"/>
              <w:ind w:right="310"/>
              <w:spacing w:after="0"/>
              <w:rPr>
                <w:sz w:val="20"/>
                <w:szCs w:val="20"/>
                <w:color w:val="auto"/>
              </w:rPr>
            </w:pPr>
            <w:r>
              <w:rPr>
                <w:rFonts w:ascii="Arial" w:cs="Arial" w:eastAsia="Arial" w:hAnsi="Arial"/>
                <w:sz w:val="18"/>
                <w:szCs w:val="18"/>
                <w:color w:val="auto"/>
              </w:rPr>
              <w:t>37,008</w:t>
            </w:r>
          </w:p>
        </w:tc>
        <w:tc>
          <w:tcPr>
            <w:tcW w:w="14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38,183</w:t>
            </w:r>
          </w:p>
        </w:tc>
        <w:tc>
          <w:tcPr>
            <w:tcW w:w="0" w:type="dxa"/>
            <w:vAlign w:val="bottom"/>
          </w:tcPr>
          <w:p>
            <w:pPr>
              <w:spacing w:after="0"/>
              <w:rPr>
                <w:sz w:val="1"/>
                <w:szCs w:val="1"/>
                <w:color w:val="auto"/>
              </w:rPr>
            </w:pPr>
          </w:p>
        </w:tc>
      </w:tr>
      <w:tr>
        <w:trPr>
          <w:trHeight w:val="20"/>
        </w:trPr>
        <w:tc>
          <w:tcPr>
            <w:tcW w:w="6240" w:type="dxa"/>
            <w:vAlign w:val="bottom"/>
            <w:tcBorders>
              <w:top w:val="single" w:sz="8" w:color="CCEDFF"/>
              <w:bottom w:val="single" w:sz="8" w:color="auto"/>
            </w:tcBorders>
          </w:tcPr>
          <w:p>
            <w:pPr>
              <w:spacing w:after="0" w:line="20" w:lineRule="exact"/>
              <w:rPr>
                <w:sz w:val="1"/>
                <w:szCs w:val="1"/>
                <w:color w:val="auto"/>
              </w:rPr>
            </w:pPr>
          </w:p>
        </w:tc>
        <w:tc>
          <w:tcPr>
            <w:tcW w:w="1720" w:type="dxa"/>
            <w:vAlign w:val="bottom"/>
            <w:tcBorders>
              <w:top w:val="single" w:sz="8" w:color="CCEDFF"/>
              <w:bottom w:val="single" w:sz="8" w:color="auto"/>
            </w:tcBorders>
          </w:tcPr>
          <w:p>
            <w:pPr>
              <w:spacing w:after="0" w:line="20" w:lineRule="exact"/>
              <w:rPr>
                <w:sz w:val="1"/>
                <w:szCs w:val="1"/>
                <w:color w:val="auto"/>
              </w:rPr>
            </w:pPr>
          </w:p>
        </w:tc>
        <w:tc>
          <w:tcPr>
            <w:tcW w:w="1800" w:type="dxa"/>
            <w:vAlign w:val="bottom"/>
            <w:tcBorders>
              <w:top w:val="single" w:sz="8" w:color="CCEDFF"/>
              <w:bottom w:val="single" w:sz="8" w:color="auto"/>
            </w:tcBorders>
          </w:tcPr>
          <w:p>
            <w:pPr>
              <w:spacing w:after="0" w:line="20" w:lineRule="exact"/>
              <w:rPr>
                <w:sz w:val="1"/>
                <w:szCs w:val="1"/>
                <w:color w:val="auto"/>
              </w:rPr>
            </w:pPr>
          </w:p>
        </w:tc>
        <w:tc>
          <w:tcPr>
            <w:tcW w:w="1480" w:type="dxa"/>
            <w:vAlign w:val="bottom"/>
            <w:tcBorders>
              <w:top w:val="single" w:sz="8" w:color="CCED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DFF"/>
          </w:tcPr>
          <w:p>
            <w:pPr>
              <w:ind w:left="20"/>
              <w:spacing w:after="0"/>
              <w:rPr>
                <w:sz w:val="20"/>
                <w:szCs w:val="20"/>
                <w:color w:val="auto"/>
              </w:rPr>
            </w:pPr>
            <w:r>
              <w:rPr>
                <w:rFonts w:ascii="Arial" w:cs="Arial" w:eastAsia="Arial" w:hAnsi="Arial"/>
                <w:sz w:val="18"/>
                <w:szCs w:val="18"/>
                <w:color w:val="auto"/>
              </w:rPr>
              <w:t>LIABILITIES AND STOCKHOLDERS' EQUITY</w:t>
            </w:r>
          </w:p>
        </w:tc>
        <w:tc>
          <w:tcPr>
            <w:tcW w:w="1720" w:type="dxa"/>
            <w:vAlign w:val="bottom"/>
            <w:shd w:val="clear" w:color="auto" w:fill="CCEDFF"/>
          </w:tcPr>
          <w:p>
            <w:pPr>
              <w:spacing w:after="0"/>
              <w:rPr>
                <w:sz w:val="19"/>
                <w:szCs w:val="19"/>
                <w:color w:val="auto"/>
              </w:rPr>
            </w:pPr>
          </w:p>
        </w:tc>
        <w:tc>
          <w:tcPr>
            <w:tcW w:w="1800" w:type="dxa"/>
            <w:vAlign w:val="bottom"/>
            <w:shd w:val="clear" w:color="auto" w:fill="CCEDFF"/>
          </w:tcPr>
          <w:p>
            <w:pPr>
              <w:spacing w:after="0"/>
              <w:rPr>
                <w:sz w:val="19"/>
                <w:szCs w:val="19"/>
                <w:color w:val="auto"/>
              </w:rPr>
            </w:pPr>
          </w:p>
        </w:tc>
        <w:tc>
          <w:tcPr>
            <w:tcW w:w="148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720" w:type="dxa"/>
            <w:vAlign w:val="bottom"/>
          </w:tcPr>
          <w:p>
            <w:pPr>
              <w:spacing w:after="0"/>
              <w:rPr>
                <w:sz w:val="19"/>
                <w:szCs w:val="19"/>
                <w:color w:val="auto"/>
              </w:rPr>
            </w:pP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5,296</w:t>
            </w:r>
          </w:p>
        </w:tc>
        <w:tc>
          <w:tcPr>
            <w:tcW w:w="1480" w:type="dxa"/>
            <w:vAlign w:val="bottom"/>
          </w:tcPr>
          <w:p>
            <w:pPr>
              <w:jc w:val="right"/>
              <w:spacing w:after="0"/>
              <w:rPr>
                <w:sz w:val="20"/>
                <w:szCs w:val="20"/>
                <w:color w:val="auto"/>
              </w:rPr>
            </w:pPr>
            <w:r>
              <w:rPr>
                <w:rFonts w:ascii="Arial" w:cs="Arial" w:eastAsia="Arial" w:hAnsi="Arial"/>
                <w:sz w:val="18"/>
                <w:szCs w:val="18"/>
                <w:color w:val="auto"/>
              </w:rPr>
              <w:t>6,352</w:t>
            </w:r>
          </w:p>
        </w:tc>
        <w:tc>
          <w:tcPr>
            <w:tcW w:w="0" w:type="dxa"/>
            <w:vAlign w:val="bottom"/>
          </w:tcPr>
          <w:p>
            <w:pPr>
              <w:spacing w:after="0"/>
              <w:rPr>
                <w:sz w:val="1"/>
                <w:szCs w:val="1"/>
                <w:color w:val="auto"/>
              </w:rPr>
            </w:pPr>
          </w:p>
        </w:tc>
      </w:tr>
      <w:tr>
        <w:trPr>
          <w:trHeight w:val="229"/>
        </w:trPr>
        <w:tc>
          <w:tcPr>
            <w:tcW w:w="6240" w:type="dxa"/>
            <w:vAlign w:val="bottom"/>
            <w:shd w:val="clear" w:color="auto" w:fill="CCEDFF"/>
          </w:tcPr>
          <w:p>
            <w:pPr>
              <w:ind w:left="20"/>
              <w:spacing w:after="0"/>
              <w:rPr>
                <w:sz w:val="20"/>
                <w:szCs w:val="20"/>
                <w:color w:val="auto"/>
              </w:rPr>
            </w:pPr>
            <w:r>
              <w:rPr>
                <w:rFonts w:ascii="Arial" w:cs="Arial" w:eastAsia="Arial" w:hAnsi="Arial"/>
                <w:sz w:val="18"/>
                <w:szCs w:val="18"/>
                <w:color w:val="auto"/>
              </w:rPr>
              <w:t>Other liabilities</w:t>
            </w:r>
          </w:p>
        </w:tc>
        <w:tc>
          <w:tcPr>
            <w:tcW w:w="1720" w:type="dxa"/>
            <w:vAlign w:val="bottom"/>
            <w:shd w:val="clear" w:color="auto" w:fill="CCEDFF"/>
          </w:tcPr>
          <w:p>
            <w:pPr>
              <w:spacing w:after="0"/>
              <w:rPr>
                <w:sz w:val="19"/>
                <w:szCs w:val="19"/>
                <w:color w:val="auto"/>
              </w:rPr>
            </w:pPr>
          </w:p>
        </w:tc>
        <w:tc>
          <w:tcPr>
            <w:tcW w:w="180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6,088</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6,303</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Stockholders' equity</w:t>
            </w:r>
          </w:p>
        </w:tc>
        <w:tc>
          <w:tcPr>
            <w:tcW w:w="17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25,624</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25,528</w:t>
            </w:r>
          </w:p>
        </w:tc>
        <w:tc>
          <w:tcPr>
            <w:tcW w:w="0" w:type="dxa"/>
            <w:vAlign w:val="bottom"/>
          </w:tcPr>
          <w:p>
            <w:pPr>
              <w:spacing w:after="0"/>
              <w:rPr>
                <w:sz w:val="1"/>
                <w:szCs w:val="1"/>
                <w:color w:val="auto"/>
              </w:rPr>
            </w:pPr>
          </w:p>
        </w:tc>
      </w:tr>
      <w:tr>
        <w:trPr>
          <w:trHeight w:val="248"/>
        </w:trPr>
        <w:tc>
          <w:tcPr>
            <w:tcW w:w="624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720" w:type="dxa"/>
            <w:vAlign w:val="bottom"/>
            <w:tcBorders>
              <w:bottom w:val="single" w:sz="8" w:color="auto"/>
            </w:tcBorders>
            <w:shd w:val="clear" w:color="auto" w:fill="CCEDFF"/>
          </w:tcPr>
          <w:p>
            <w:pPr>
              <w:spacing w:after="0"/>
              <w:rPr>
                <w:sz w:val="21"/>
                <w:szCs w:val="21"/>
                <w:color w:val="auto"/>
              </w:rPr>
            </w:pPr>
          </w:p>
        </w:tc>
        <w:tc>
          <w:tcPr>
            <w:tcW w:w="1800" w:type="dxa"/>
            <w:vAlign w:val="bottom"/>
            <w:tcBorders>
              <w:bottom w:val="single" w:sz="8" w:color="auto"/>
            </w:tcBorders>
            <w:shd w:val="clear" w:color="auto" w:fill="CCEDFF"/>
          </w:tcPr>
          <w:p>
            <w:pPr>
              <w:jc w:val="right"/>
              <w:ind w:right="310"/>
              <w:spacing w:after="0"/>
              <w:rPr>
                <w:sz w:val="20"/>
                <w:szCs w:val="20"/>
                <w:color w:val="auto"/>
              </w:rPr>
            </w:pPr>
            <w:r>
              <w:rPr>
                <w:rFonts w:ascii="Arial" w:cs="Arial" w:eastAsia="Arial" w:hAnsi="Arial"/>
                <w:sz w:val="18"/>
                <w:szCs w:val="18"/>
                <w:color w:val="auto"/>
              </w:rPr>
              <w:t>37,008</w:t>
            </w:r>
          </w:p>
        </w:tc>
        <w:tc>
          <w:tcPr>
            <w:tcW w:w="14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38,183</w:t>
            </w:r>
          </w:p>
        </w:tc>
        <w:tc>
          <w:tcPr>
            <w:tcW w:w="0" w:type="dxa"/>
            <w:vAlign w:val="bottom"/>
          </w:tcPr>
          <w:p>
            <w:pPr>
              <w:spacing w:after="0"/>
              <w:rPr>
                <w:sz w:val="1"/>
                <w:szCs w:val="1"/>
                <w:color w:val="auto"/>
              </w:rPr>
            </w:pPr>
          </w:p>
        </w:tc>
      </w:tr>
      <w:tr>
        <w:trPr>
          <w:trHeight w:val="20"/>
        </w:trPr>
        <w:tc>
          <w:tcPr>
            <w:tcW w:w="6240" w:type="dxa"/>
            <w:vAlign w:val="bottom"/>
            <w:tcBorders>
              <w:top w:val="single" w:sz="8" w:color="CCEDFF"/>
              <w:bottom w:val="single" w:sz="8" w:color="auto"/>
            </w:tcBorders>
          </w:tcPr>
          <w:p>
            <w:pPr>
              <w:spacing w:after="0" w:line="20" w:lineRule="exact"/>
              <w:rPr>
                <w:sz w:val="1"/>
                <w:szCs w:val="1"/>
                <w:color w:val="auto"/>
              </w:rPr>
            </w:pPr>
          </w:p>
        </w:tc>
        <w:tc>
          <w:tcPr>
            <w:tcW w:w="1720" w:type="dxa"/>
            <w:vAlign w:val="bottom"/>
            <w:tcBorders>
              <w:top w:val="single" w:sz="8" w:color="CCEDFF"/>
              <w:bottom w:val="single" w:sz="8" w:color="auto"/>
            </w:tcBorders>
          </w:tcPr>
          <w:p>
            <w:pPr>
              <w:spacing w:after="0" w:line="20" w:lineRule="exact"/>
              <w:rPr>
                <w:sz w:val="1"/>
                <w:szCs w:val="1"/>
                <w:color w:val="auto"/>
              </w:rPr>
            </w:pPr>
          </w:p>
        </w:tc>
        <w:tc>
          <w:tcPr>
            <w:tcW w:w="1800" w:type="dxa"/>
            <w:vAlign w:val="bottom"/>
            <w:tcBorders>
              <w:top w:val="single" w:sz="8" w:color="CCEDFF"/>
              <w:bottom w:val="single" w:sz="8" w:color="auto"/>
            </w:tcBorders>
          </w:tcPr>
          <w:p>
            <w:pPr>
              <w:spacing w:after="0" w:line="20" w:lineRule="exact"/>
              <w:rPr>
                <w:sz w:val="1"/>
                <w:szCs w:val="1"/>
                <w:color w:val="auto"/>
              </w:rPr>
            </w:pPr>
          </w:p>
        </w:tc>
        <w:tc>
          <w:tcPr>
            <w:tcW w:w="1480" w:type="dxa"/>
            <w:vAlign w:val="bottom"/>
            <w:tcBorders>
              <w:top w:val="single" w:sz="8" w:color="CCED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6240" w:type="dxa"/>
            <w:vAlign w:val="bottom"/>
          </w:tcPr>
          <w:p>
            <w:pPr>
              <w:spacing w:after="0"/>
              <w:rPr>
                <w:sz w:val="20"/>
                <w:szCs w:val="20"/>
                <w:color w:val="auto"/>
              </w:rPr>
            </w:pPr>
            <w:r>
              <w:rPr>
                <w:rFonts w:ascii="Arial" w:cs="Arial" w:eastAsia="Arial" w:hAnsi="Arial"/>
                <w:sz w:val="18"/>
                <w:szCs w:val="18"/>
                <w:color w:val="auto"/>
              </w:rPr>
              <w:t>Summarized results of MNI are as follows:</w:t>
            </w:r>
          </w:p>
        </w:tc>
        <w:tc>
          <w:tcPr>
            <w:tcW w:w="17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62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1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2024</w:t>
            </w:r>
          </w:p>
        </w:tc>
        <w:tc>
          <w:tcPr>
            <w:tcW w:w="1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2023</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50"/>
        </w:trPr>
        <w:tc>
          <w:tcPr>
            <w:tcW w:w="62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DFF"/>
          </w:tcPr>
          <w:p>
            <w:pPr>
              <w:ind w:left="20"/>
              <w:spacing w:after="0"/>
              <w:rPr>
                <w:sz w:val="20"/>
                <w:szCs w:val="20"/>
                <w:color w:val="auto"/>
              </w:rPr>
            </w:pPr>
            <w:r>
              <w:rPr>
                <w:rFonts w:ascii="Arial" w:cs="Arial" w:eastAsia="Arial" w:hAnsi="Arial"/>
                <w:sz w:val="18"/>
                <w:szCs w:val="18"/>
                <w:color w:val="auto"/>
              </w:rPr>
              <w:t>Operating revenue</w:t>
            </w:r>
          </w:p>
        </w:tc>
        <w:tc>
          <w:tcPr>
            <w:tcW w:w="1720" w:type="dxa"/>
            <w:vAlign w:val="bottom"/>
            <w:shd w:val="clear" w:color="auto" w:fill="CCEDFF"/>
          </w:tcPr>
          <w:p>
            <w:pPr>
              <w:jc w:val="right"/>
              <w:ind w:right="290"/>
              <w:spacing w:after="0"/>
              <w:rPr>
                <w:sz w:val="20"/>
                <w:szCs w:val="20"/>
                <w:color w:val="auto"/>
              </w:rPr>
            </w:pPr>
            <w:r>
              <w:rPr>
                <w:rFonts w:ascii="Arial" w:cs="Arial" w:eastAsia="Arial" w:hAnsi="Arial"/>
                <w:sz w:val="18"/>
                <w:szCs w:val="18"/>
                <w:color w:val="auto"/>
              </w:rPr>
              <w:t>41,323</w:t>
            </w:r>
          </w:p>
        </w:tc>
        <w:tc>
          <w:tcPr>
            <w:tcW w:w="180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44,109</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47,621</w:t>
            </w:r>
          </w:p>
        </w:tc>
        <w:tc>
          <w:tcPr>
            <w:tcW w:w="0" w:type="dxa"/>
            <w:vAlign w:val="bottom"/>
          </w:tcPr>
          <w:p>
            <w:pPr>
              <w:spacing w:after="0"/>
              <w:rPr>
                <w:sz w:val="1"/>
                <w:szCs w:val="1"/>
                <w:color w:val="auto"/>
              </w:rPr>
            </w:pPr>
          </w:p>
        </w:tc>
      </w:tr>
      <w:tr>
        <w:trPr>
          <w:trHeight w:val="175"/>
        </w:trPr>
        <w:tc>
          <w:tcPr>
            <w:tcW w:w="6240" w:type="dxa"/>
            <w:vAlign w:val="bottom"/>
          </w:tcPr>
          <w:p>
            <w:pPr>
              <w:ind w:left="20"/>
              <w:spacing w:after="0" w:line="176" w:lineRule="exact"/>
              <w:rPr>
                <w:sz w:val="20"/>
                <w:szCs w:val="20"/>
                <w:color w:val="auto"/>
              </w:rPr>
            </w:pPr>
            <w:r>
              <w:rPr>
                <w:rFonts w:ascii="Arial" w:cs="Arial" w:eastAsia="Arial" w:hAnsi="Arial"/>
                <w:sz w:val="18"/>
                <w:szCs w:val="18"/>
                <w:color w:val="auto"/>
              </w:rPr>
              <w:t>Operating expenses, excluding restructuring costs, depreciation and</w:t>
            </w:r>
          </w:p>
        </w:tc>
        <w:tc>
          <w:tcPr>
            <w:tcW w:w="1720" w:type="dxa"/>
            <w:vAlign w:val="bottom"/>
            <w:vMerge w:val="restart"/>
          </w:tcPr>
          <w:p>
            <w:pPr>
              <w:jc w:val="right"/>
              <w:ind w:right="290"/>
              <w:spacing w:after="0"/>
              <w:rPr>
                <w:sz w:val="20"/>
                <w:szCs w:val="20"/>
                <w:color w:val="auto"/>
              </w:rPr>
            </w:pPr>
            <w:r>
              <w:rPr>
                <w:rFonts w:ascii="Arial" w:cs="Arial" w:eastAsia="Arial" w:hAnsi="Arial"/>
                <w:sz w:val="18"/>
                <w:szCs w:val="18"/>
                <w:color w:val="auto"/>
              </w:rPr>
              <w:t>31,619</w:t>
            </w:r>
          </w:p>
        </w:tc>
        <w:tc>
          <w:tcPr>
            <w:tcW w:w="1800" w:type="dxa"/>
            <w:vAlign w:val="bottom"/>
            <w:vMerge w:val="restart"/>
          </w:tcPr>
          <w:p>
            <w:pPr>
              <w:jc w:val="right"/>
              <w:ind w:right="310"/>
              <w:spacing w:after="0"/>
              <w:rPr>
                <w:sz w:val="20"/>
                <w:szCs w:val="20"/>
                <w:color w:val="auto"/>
              </w:rPr>
            </w:pPr>
            <w:r>
              <w:rPr>
                <w:rFonts w:ascii="Arial" w:cs="Arial" w:eastAsia="Arial" w:hAnsi="Arial"/>
                <w:sz w:val="18"/>
                <w:szCs w:val="18"/>
                <w:color w:val="auto"/>
              </w:rPr>
              <w:t>30,654</w:t>
            </w: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37,922</w:t>
            </w: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1720" w:type="dxa"/>
            <w:vAlign w:val="bottom"/>
            <w:vMerge w:val="continue"/>
          </w:tcPr>
          <w:p>
            <w:pPr>
              <w:spacing w:after="0"/>
              <w:rPr>
                <w:sz w:val="21"/>
                <w:szCs w:val="21"/>
                <w:color w:val="auto"/>
              </w:rPr>
            </w:pPr>
          </w:p>
        </w:tc>
        <w:tc>
          <w:tcPr>
            <w:tcW w:w="1800" w:type="dxa"/>
            <w:vAlign w:val="bottom"/>
            <w:vMerge w:val="continue"/>
          </w:tcPr>
          <w:p>
            <w:pPr>
              <w:spacing w:after="0"/>
              <w:rPr>
                <w:sz w:val="21"/>
                <w:szCs w:val="21"/>
                <w:color w:val="auto"/>
              </w:rPr>
            </w:pPr>
          </w:p>
        </w:tc>
        <w:tc>
          <w:tcPr>
            <w:tcW w:w="1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DFF"/>
          </w:tcPr>
          <w:p>
            <w:pPr>
              <w:ind w:left="20"/>
              <w:spacing w:after="0"/>
              <w:rPr>
                <w:sz w:val="20"/>
                <w:szCs w:val="20"/>
                <w:color w:val="auto"/>
              </w:rPr>
            </w:pPr>
            <w:r>
              <w:rPr>
                <w:rFonts w:ascii="Arial" w:cs="Arial" w:eastAsia="Arial" w:hAnsi="Arial"/>
                <w:sz w:val="18"/>
                <w:szCs w:val="18"/>
                <w:color w:val="auto"/>
              </w:rPr>
              <w:t>Restructuring costs</w:t>
            </w:r>
          </w:p>
        </w:tc>
        <w:tc>
          <w:tcPr>
            <w:tcW w:w="1720" w:type="dxa"/>
            <w:vAlign w:val="bottom"/>
            <w:shd w:val="clear" w:color="auto" w:fill="CCEDFF"/>
          </w:tcPr>
          <w:p>
            <w:pPr>
              <w:jc w:val="right"/>
              <w:ind w:right="290"/>
              <w:spacing w:after="0"/>
              <w:rPr>
                <w:sz w:val="20"/>
                <w:szCs w:val="20"/>
                <w:color w:val="auto"/>
              </w:rPr>
            </w:pPr>
            <w:r>
              <w:rPr>
                <w:rFonts w:ascii="Arial" w:cs="Arial" w:eastAsia="Arial" w:hAnsi="Arial"/>
                <w:sz w:val="18"/>
                <w:szCs w:val="18"/>
                <w:color w:val="auto"/>
              </w:rPr>
              <w:t>221</w:t>
            </w:r>
          </w:p>
        </w:tc>
        <w:tc>
          <w:tcPr>
            <w:tcW w:w="180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143</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17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483</w:t>
            </w:r>
          </w:p>
        </w:tc>
        <w:tc>
          <w:tcPr>
            <w:tcW w:w="1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539</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48"/>
        </w:trPr>
        <w:tc>
          <w:tcPr>
            <w:tcW w:w="624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Operating income</w:t>
            </w:r>
          </w:p>
        </w:tc>
        <w:tc>
          <w:tcPr>
            <w:tcW w:w="1720" w:type="dxa"/>
            <w:vAlign w:val="bottom"/>
            <w:tcBorders>
              <w:bottom w:val="single" w:sz="8" w:color="auto"/>
            </w:tcBorders>
            <w:shd w:val="clear" w:color="auto" w:fill="CCEDFF"/>
          </w:tcPr>
          <w:p>
            <w:pPr>
              <w:jc w:val="right"/>
              <w:ind w:right="290"/>
              <w:spacing w:after="0"/>
              <w:rPr>
                <w:sz w:val="20"/>
                <w:szCs w:val="20"/>
                <w:color w:val="auto"/>
              </w:rPr>
            </w:pPr>
            <w:r>
              <w:rPr>
                <w:rFonts w:ascii="Arial" w:cs="Arial" w:eastAsia="Arial" w:hAnsi="Arial"/>
                <w:sz w:val="18"/>
                <w:szCs w:val="18"/>
                <w:color w:val="auto"/>
              </w:rPr>
              <w:t>9,000</w:t>
            </w:r>
          </w:p>
        </w:tc>
        <w:tc>
          <w:tcPr>
            <w:tcW w:w="1800" w:type="dxa"/>
            <w:vAlign w:val="bottom"/>
            <w:tcBorders>
              <w:bottom w:val="single" w:sz="8" w:color="auto"/>
            </w:tcBorders>
            <w:shd w:val="clear" w:color="auto" w:fill="CCEDFF"/>
          </w:tcPr>
          <w:p>
            <w:pPr>
              <w:jc w:val="right"/>
              <w:ind w:right="310"/>
              <w:spacing w:after="0"/>
              <w:rPr>
                <w:sz w:val="20"/>
                <w:szCs w:val="20"/>
                <w:color w:val="auto"/>
              </w:rPr>
            </w:pPr>
            <w:r>
              <w:rPr>
                <w:rFonts w:ascii="Arial" w:cs="Arial" w:eastAsia="Arial" w:hAnsi="Arial"/>
                <w:sz w:val="18"/>
                <w:szCs w:val="18"/>
                <w:color w:val="auto"/>
              </w:rPr>
              <w:t>12,773</w:t>
            </w:r>
          </w:p>
        </w:tc>
        <w:tc>
          <w:tcPr>
            <w:tcW w:w="14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8,858</w:t>
            </w:r>
          </w:p>
        </w:tc>
        <w:tc>
          <w:tcPr>
            <w:tcW w:w="0" w:type="dxa"/>
            <w:vAlign w:val="bottom"/>
          </w:tcPr>
          <w:p>
            <w:pPr>
              <w:spacing w:after="0"/>
              <w:rPr>
                <w:sz w:val="1"/>
                <w:szCs w:val="1"/>
                <w:color w:val="auto"/>
              </w:rPr>
            </w:pPr>
          </w:p>
        </w:tc>
      </w:tr>
      <w:tr>
        <w:trPr>
          <w:trHeight w:val="20"/>
        </w:trPr>
        <w:tc>
          <w:tcPr>
            <w:tcW w:w="6240" w:type="dxa"/>
            <w:vAlign w:val="bottom"/>
            <w:tcBorders>
              <w:top w:val="single" w:sz="8" w:color="CCEDFF"/>
              <w:bottom w:val="single" w:sz="8" w:color="auto"/>
            </w:tcBorders>
          </w:tcPr>
          <w:p>
            <w:pPr>
              <w:spacing w:after="0" w:line="20" w:lineRule="exact"/>
              <w:rPr>
                <w:sz w:val="1"/>
                <w:szCs w:val="1"/>
                <w:color w:val="auto"/>
              </w:rPr>
            </w:pPr>
          </w:p>
        </w:tc>
        <w:tc>
          <w:tcPr>
            <w:tcW w:w="1720" w:type="dxa"/>
            <w:vAlign w:val="bottom"/>
            <w:tcBorders>
              <w:top w:val="single" w:sz="8" w:color="CCEDFF"/>
              <w:bottom w:val="single" w:sz="8" w:color="auto"/>
            </w:tcBorders>
          </w:tcPr>
          <w:p>
            <w:pPr>
              <w:spacing w:after="0" w:line="20" w:lineRule="exact"/>
              <w:rPr>
                <w:sz w:val="1"/>
                <w:szCs w:val="1"/>
                <w:color w:val="auto"/>
              </w:rPr>
            </w:pPr>
          </w:p>
        </w:tc>
        <w:tc>
          <w:tcPr>
            <w:tcW w:w="1800" w:type="dxa"/>
            <w:vAlign w:val="bottom"/>
            <w:tcBorders>
              <w:top w:val="single" w:sz="8" w:color="CCEDFF"/>
              <w:bottom w:val="single" w:sz="8" w:color="auto"/>
            </w:tcBorders>
          </w:tcPr>
          <w:p>
            <w:pPr>
              <w:spacing w:after="0" w:line="20" w:lineRule="exact"/>
              <w:rPr>
                <w:sz w:val="1"/>
                <w:szCs w:val="1"/>
                <w:color w:val="auto"/>
              </w:rPr>
            </w:pPr>
          </w:p>
        </w:tc>
        <w:tc>
          <w:tcPr>
            <w:tcW w:w="1480" w:type="dxa"/>
            <w:vAlign w:val="bottom"/>
            <w:tcBorders>
              <w:top w:val="single" w:sz="8" w:color="CCED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4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Net income</w:t>
            </w:r>
          </w:p>
        </w:tc>
        <w:tc>
          <w:tcPr>
            <w:tcW w:w="172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2,488</w:t>
            </w:r>
          </w:p>
        </w:tc>
        <w:tc>
          <w:tcPr>
            <w:tcW w:w="180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5,911</w:t>
            </w:r>
          </w:p>
        </w:tc>
        <w:tc>
          <w:tcPr>
            <w:tcW w:w="1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2,605</w:t>
            </w:r>
          </w:p>
        </w:tc>
        <w:tc>
          <w:tcPr>
            <w:tcW w:w="0" w:type="dxa"/>
            <w:vAlign w:val="bottom"/>
          </w:tcPr>
          <w:p>
            <w:pPr>
              <w:spacing w:after="0"/>
              <w:rPr>
                <w:sz w:val="1"/>
                <w:szCs w:val="1"/>
                <w:color w:val="auto"/>
              </w:rPr>
            </w:pPr>
          </w:p>
        </w:tc>
      </w:tr>
      <w:tr>
        <w:trPr>
          <w:trHeight w:val="248"/>
        </w:trPr>
        <w:tc>
          <w:tcPr>
            <w:tcW w:w="624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Equity in earnings of MNI</w:t>
            </w:r>
          </w:p>
        </w:tc>
        <w:tc>
          <w:tcPr>
            <w:tcW w:w="1720" w:type="dxa"/>
            <w:vAlign w:val="bottom"/>
            <w:tcBorders>
              <w:bottom w:val="single" w:sz="8" w:color="auto"/>
            </w:tcBorders>
            <w:shd w:val="clear" w:color="auto" w:fill="CCEDFF"/>
          </w:tcPr>
          <w:p>
            <w:pPr>
              <w:jc w:val="right"/>
              <w:ind w:right="290"/>
              <w:spacing w:after="0"/>
              <w:rPr>
                <w:sz w:val="20"/>
                <w:szCs w:val="20"/>
                <w:color w:val="auto"/>
              </w:rPr>
            </w:pPr>
            <w:r>
              <w:rPr>
                <w:rFonts w:ascii="Arial" w:cs="Arial" w:eastAsia="Arial" w:hAnsi="Arial"/>
                <w:sz w:val="18"/>
                <w:szCs w:val="18"/>
                <w:color w:val="auto"/>
              </w:rPr>
              <w:t>1,244</w:t>
            </w:r>
          </w:p>
        </w:tc>
        <w:tc>
          <w:tcPr>
            <w:tcW w:w="1800" w:type="dxa"/>
            <w:vAlign w:val="bottom"/>
            <w:tcBorders>
              <w:bottom w:val="single" w:sz="8" w:color="auto"/>
            </w:tcBorders>
            <w:shd w:val="clear" w:color="auto" w:fill="CCEDFF"/>
          </w:tcPr>
          <w:p>
            <w:pPr>
              <w:jc w:val="right"/>
              <w:ind w:right="310"/>
              <w:spacing w:after="0"/>
              <w:rPr>
                <w:sz w:val="20"/>
                <w:szCs w:val="20"/>
                <w:color w:val="auto"/>
              </w:rPr>
            </w:pPr>
            <w:r>
              <w:rPr>
                <w:rFonts w:ascii="Arial" w:cs="Arial" w:eastAsia="Arial" w:hAnsi="Arial"/>
                <w:sz w:val="18"/>
                <w:szCs w:val="18"/>
                <w:color w:val="auto"/>
              </w:rPr>
              <w:t>2,956</w:t>
            </w:r>
          </w:p>
        </w:tc>
        <w:tc>
          <w:tcPr>
            <w:tcW w:w="14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0"/>
        </w:trPr>
        <w:tc>
          <w:tcPr>
            <w:tcW w:w="6240" w:type="dxa"/>
            <w:vAlign w:val="bottom"/>
            <w:tcBorders>
              <w:top w:val="single" w:sz="8" w:color="CCEDFF"/>
              <w:bottom w:val="single" w:sz="8" w:color="auto"/>
            </w:tcBorders>
          </w:tcPr>
          <w:p>
            <w:pPr>
              <w:spacing w:after="0" w:line="20" w:lineRule="exact"/>
              <w:rPr>
                <w:sz w:val="1"/>
                <w:szCs w:val="1"/>
                <w:color w:val="auto"/>
              </w:rPr>
            </w:pPr>
          </w:p>
        </w:tc>
        <w:tc>
          <w:tcPr>
            <w:tcW w:w="1720" w:type="dxa"/>
            <w:vAlign w:val="bottom"/>
            <w:tcBorders>
              <w:top w:val="single" w:sz="8" w:color="CCEDFF"/>
              <w:bottom w:val="single" w:sz="8" w:color="auto"/>
            </w:tcBorders>
          </w:tcPr>
          <w:p>
            <w:pPr>
              <w:spacing w:after="0" w:line="20" w:lineRule="exact"/>
              <w:rPr>
                <w:sz w:val="1"/>
                <w:szCs w:val="1"/>
                <w:color w:val="auto"/>
              </w:rPr>
            </w:pPr>
          </w:p>
        </w:tc>
        <w:tc>
          <w:tcPr>
            <w:tcW w:w="1800" w:type="dxa"/>
            <w:vAlign w:val="bottom"/>
            <w:tcBorders>
              <w:top w:val="single" w:sz="8" w:color="CCEDFF"/>
              <w:bottom w:val="single" w:sz="8" w:color="auto"/>
            </w:tcBorders>
          </w:tcPr>
          <w:p>
            <w:pPr>
              <w:spacing w:after="0" w:line="20" w:lineRule="exact"/>
              <w:rPr>
                <w:sz w:val="1"/>
                <w:szCs w:val="1"/>
                <w:color w:val="auto"/>
              </w:rPr>
            </w:pPr>
          </w:p>
        </w:tc>
        <w:tc>
          <w:tcPr>
            <w:tcW w:w="1480" w:type="dxa"/>
            <w:vAlign w:val="bottom"/>
            <w:tcBorders>
              <w:top w:val="single" w:sz="8" w:color="CCED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MNI makes periodic distributions of its earnings. We received $1.2 million, $2.2 million, and $1.3 million in distributions in 2024, 2023 and 2022, respectively.</w:t>
      </w:r>
    </w:p>
    <w:p>
      <w:pPr>
        <w:spacing w:after="0" w:line="1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provide editorial services to MNI. Editorial service fees are included in other revenue in the Consolidated Statements of (Loss) Income and Comprehensive (Loss) Income and totaled $5.5 million, $5.4 million, and $5.6 million in 2024, 2023 and 2022, respectively.</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At September 29, 2024 and September 24, 2023, the carrying value of the Company's 50% investment in MNI is $12.8 million and $12.8 million, respectively.</w:t>
      </w:r>
    </w:p>
    <w:p>
      <w:pPr>
        <w:spacing w:after="0" w:line="11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GOODWILL AND OTHER INTANGIBLE ASSETS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are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58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2024</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250"/>
        </w:trPr>
        <w:tc>
          <w:tcPr>
            <w:tcW w:w="4040" w:type="dxa"/>
            <w:vAlign w:val="bottom"/>
          </w:tcPr>
          <w:p>
            <w:pPr>
              <w:spacing w:after="0"/>
              <w:rPr>
                <w:sz w:val="21"/>
                <w:szCs w:val="21"/>
                <w:color w:val="auto"/>
              </w:rPr>
            </w:pPr>
          </w:p>
        </w:tc>
        <w:tc>
          <w:tcPr>
            <w:tcW w:w="58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gross amount</w:t>
            </w:r>
          </w:p>
        </w:tc>
        <w:tc>
          <w:tcPr>
            <w:tcW w:w="58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1,618,233</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1,618,233</w:t>
            </w:r>
          </w:p>
        </w:tc>
      </w:tr>
      <w:tr>
        <w:trPr>
          <w:trHeight w:val="229"/>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Accumulated impairment losses</w:t>
            </w:r>
          </w:p>
        </w:tc>
        <w:tc>
          <w:tcPr>
            <w:tcW w:w="5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(1,288,729)</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(1,288,729)</w:t>
            </w:r>
          </w:p>
        </w:tc>
      </w:tr>
      <w:tr>
        <w:trPr>
          <w:trHeight w:val="22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beginning of year</w:t>
            </w:r>
          </w:p>
        </w:tc>
        <w:tc>
          <w:tcPr>
            <w:tcW w:w="58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329,504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329,504</w:t>
            </w:r>
          </w:p>
        </w:tc>
      </w:tr>
      <w:tr>
        <w:trPr>
          <w:trHeight w:val="229"/>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Disposal</w:t>
            </w:r>
          </w:p>
        </w:tc>
        <w:tc>
          <w:tcPr>
            <w:tcW w:w="5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(1,464)</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Goodwill, end of year</w:t>
            </w:r>
          </w:p>
        </w:tc>
        <w:tc>
          <w:tcPr>
            <w:tcW w:w="58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328,040</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329,504</w:t>
            </w:r>
          </w:p>
        </w:tc>
      </w:tr>
      <w:tr>
        <w:trPr>
          <w:trHeight w:val="20"/>
        </w:trPr>
        <w:tc>
          <w:tcPr>
            <w:tcW w:w="4040" w:type="dxa"/>
            <w:vAlign w:val="bottom"/>
            <w:tcBorders>
              <w:top w:val="single" w:sz="8" w:color="CCEEFF"/>
              <w:bottom w:val="single" w:sz="8" w:color="auto"/>
            </w:tcBorders>
          </w:tcPr>
          <w:p>
            <w:pPr>
              <w:spacing w:after="0" w:line="20" w:lineRule="exact"/>
              <w:rPr>
                <w:sz w:val="1"/>
                <w:szCs w:val="1"/>
                <w:color w:val="auto"/>
              </w:rPr>
            </w:pPr>
          </w:p>
        </w:tc>
        <w:tc>
          <w:tcPr>
            <w:tcW w:w="58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883"/>
        </w:trPr>
        <w:tc>
          <w:tcPr>
            <w:tcW w:w="4040" w:type="dxa"/>
            <w:vAlign w:val="bottom"/>
          </w:tcPr>
          <w:p>
            <w:pPr>
              <w:spacing w:after="0"/>
              <w:rPr>
                <w:sz w:val="24"/>
                <w:szCs w:val="24"/>
                <w:color w:val="auto"/>
              </w:rPr>
            </w:pPr>
          </w:p>
        </w:tc>
        <w:tc>
          <w:tcPr>
            <w:tcW w:w="5820" w:type="dxa"/>
            <w:vAlign w:val="bottom"/>
          </w:tcPr>
          <w:p>
            <w:pPr>
              <w:jc w:val="right"/>
              <w:ind w:right="4050"/>
              <w:spacing w:after="0"/>
              <w:rPr>
                <w:sz w:val="20"/>
                <w:szCs w:val="20"/>
                <w:color w:val="auto"/>
              </w:rPr>
            </w:pPr>
            <w:r>
              <w:rPr>
                <w:rFonts w:ascii="Arial" w:cs="Arial" w:eastAsia="Arial" w:hAnsi="Arial"/>
                <w:sz w:val="18"/>
                <w:szCs w:val="18"/>
                <w:color w:val="auto"/>
              </w:rPr>
              <w:t>45</w:t>
            </w:r>
          </w:p>
        </w:tc>
        <w:tc>
          <w:tcPr>
            <w:tcW w:w="1380" w:type="dxa"/>
            <w:vAlign w:val="bottom"/>
          </w:tcPr>
          <w:p>
            <w:pPr>
              <w:spacing w:after="0"/>
              <w:rPr>
                <w:sz w:val="24"/>
                <w:szCs w:val="24"/>
                <w:color w:val="auto"/>
              </w:rPr>
            </w:pPr>
          </w:p>
        </w:tc>
      </w:tr>
      <w:tr>
        <w:trPr>
          <w:trHeight w:val="98"/>
        </w:trPr>
        <w:tc>
          <w:tcPr>
            <w:tcW w:w="4040" w:type="dxa"/>
            <w:vAlign w:val="bottom"/>
            <w:tcBorders>
              <w:bottom w:val="single" w:sz="8" w:color="9A9A9A"/>
            </w:tcBorders>
          </w:tcPr>
          <w:p>
            <w:pPr>
              <w:spacing w:after="0"/>
              <w:rPr>
                <w:sz w:val="8"/>
                <w:szCs w:val="8"/>
                <w:color w:val="auto"/>
              </w:rPr>
            </w:pPr>
          </w:p>
        </w:tc>
        <w:tc>
          <w:tcPr>
            <w:tcW w:w="582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Identified intangible assets related to continuing operations consist of the following: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820" w:type="dxa"/>
            <w:vAlign w:val="bottom"/>
            <w:tcBorders>
              <w:top w:val="single" w:sz="8" w:color="auto"/>
            </w:tcBorders>
          </w:tcPr>
          <w:p>
            <w:pPr>
              <w:spacing w:after="0"/>
              <w:rPr>
                <w:sz w:val="17"/>
                <w:szCs w:val="17"/>
                <w:color w:val="auto"/>
              </w:rPr>
            </w:pPr>
          </w:p>
        </w:tc>
        <w:tc>
          <w:tcPr>
            <w:tcW w:w="3940" w:type="dxa"/>
            <w:vAlign w:val="bottom"/>
            <w:tcBorders>
              <w:top w:val="single" w:sz="8" w:color="auto"/>
            </w:tcBorders>
          </w:tcPr>
          <w:p>
            <w:pPr>
              <w:jc w:val="right"/>
              <w:ind w:right="250"/>
              <w:spacing w:after="0" w:line="197" w:lineRule="exact"/>
              <w:rPr>
                <w:sz w:val="20"/>
                <w:szCs w:val="20"/>
                <w:color w:val="auto"/>
              </w:rPr>
            </w:pPr>
            <w:r>
              <w:rPr>
                <w:rFonts w:ascii="Arial" w:cs="Arial" w:eastAsia="Arial" w:hAnsi="Arial"/>
                <w:sz w:val="18"/>
                <w:szCs w:val="18"/>
                <w:color w:val="auto"/>
              </w:rPr>
              <w:t>September 29</w:t>
            </w:r>
          </w:p>
        </w:tc>
        <w:tc>
          <w:tcPr>
            <w:tcW w:w="1480" w:type="dxa"/>
            <w:vAlign w:val="bottom"/>
            <w:tcBorders>
              <w:top w:val="single" w:sz="8" w:color="auto"/>
            </w:tcBorders>
          </w:tcPr>
          <w:p>
            <w:pPr>
              <w:jc w:val="right"/>
              <w:spacing w:after="0" w:line="197" w:lineRule="exact"/>
              <w:rPr>
                <w:sz w:val="20"/>
                <w:szCs w:val="20"/>
                <w:color w:val="auto"/>
              </w:rPr>
            </w:pPr>
            <w:r>
              <w:rPr>
                <w:rFonts w:ascii="Arial" w:cs="Arial" w:eastAsia="Arial" w:hAnsi="Arial"/>
                <w:sz w:val="18"/>
                <w:szCs w:val="18"/>
                <w:color w:val="auto"/>
              </w:rPr>
              <w:t>September 24</w:t>
            </w:r>
          </w:p>
        </w:tc>
      </w:tr>
      <w:tr>
        <w:trPr>
          <w:trHeight w:val="235"/>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3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2024</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480"/>
        </w:trPr>
        <w:tc>
          <w:tcPr>
            <w:tcW w:w="5820" w:type="dxa"/>
            <w:vAlign w:val="bottom"/>
          </w:tcPr>
          <w:p>
            <w:pPr>
              <w:ind w:left="20"/>
              <w:spacing w:after="0"/>
              <w:rPr>
                <w:sz w:val="20"/>
                <w:szCs w:val="20"/>
                <w:color w:val="auto"/>
              </w:rPr>
            </w:pPr>
            <w:r>
              <w:rPr>
                <w:rFonts w:ascii="Arial" w:cs="Arial" w:eastAsia="Arial" w:hAnsi="Arial"/>
                <w:sz w:val="18"/>
                <w:szCs w:val="18"/>
                <w:color w:val="auto"/>
              </w:rPr>
              <w:t>Non-amortized intangible assets:</w:t>
            </w:r>
          </w:p>
        </w:tc>
        <w:tc>
          <w:tcPr>
            <w:tcW w:w="39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29"/>
        </w:trPr>
        <w:tc>
          <w:tcPr>
            <w:tcW w:w="5820" w:type="dxa"/>
            <w:vAlign w:val="bottom"/>
            <w:shd w:val="clear" w:color="auto" w:fill="CCEDFF"/>
          </w:tcPr>
          <w:p>
            <w:pPr>
              <w:ind w:left="20"/>
              <w:spacing w:after="0"/>
              <w:rPr>
                <w:sz w:val="20"/>
                <w:szCs w:val="20"/>
                <w:color w:val="auto"/>
              </w:rPr>
            </w:pPr>
            <w:r>
              <w:rPr>
                <w:rFonts w:ascii="Arial" w:cs="Arial" w:eastAsia="Arial" w:hAnsi="Arial"/>
                <w:sz w:val="18"/>
                <w:szCs w:val="18"/>
                <w:color w:val="auto"/>
              </w:rPr>
              <w:t>Mastheads</w:t>
            </w:r>
          </w:p>
        </w:tc>
        <w:tc>
          <w:tcPr>
            <w:tcW w:w="394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10,917</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18,675</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Amortizable intangible assets:</w:t>
            </w:r>
          </w:p>
        </w:tc>
        <w:tc>
          <w:tcPr>
            <w:tcW w:w="394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5820" w:type="dxa"/>
            <w:vAlign w:val="bottom"/>
            <w:shd w:val="clear" w:color="auto" w:fill="CCEDFF"/>
          </w:tcPr>
          <w:p>
            <w:pPr>
              <w:ind w:left="20"/>
              <w:spacing w:after="0"/>
              <w:rPr>
                <w:sz w:val="20"/>
                <w:szCs w:val="20"/>
                <w:color w:val="auto"/>
              </w:rPr>
            </w:pPr>
            <w:r>
              <w:rPr>
                <w:rFonts w:ascii="Arial" w:cs="Arial" w:eastAsia="Arial" w:hAnsi="Arial"/>
                <w:sz w:val="18"/>
                <w:szCs w:val="18"/>
                <w:color w:val="auto"/>
              </w:rPr>
              <w:t>Customer and newspaper subscriber lists</w:t>
            </w:r>
          </w:p>
        </w:tc>
        <w:tc>
          <w:tcPr>
            <w:tcW w:w="394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262,242</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306,766</w:t>
            </w:r>
          </w:p>
        </w:tc>
      </w:tr>
      <w:tr>
        <w:trPr>
          <w:trHeight w:val="229"/>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accumulated amortization</w:t>
            </w:r>
          </w:p>
        </w:tc>
        <w:tc>
          <w:tcPr>
            <w:tcW w:w="3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(203,084)</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(230,453)</w:t>
            </w:r>
          </w:p>
        </w:tc>
      </w:tr>
      <w:tr>
        <w:trPr>
          <w:trHeight w:val="223"/>
        </w:trPr>
        <w:tc>
          <w:tcPr>
            <w:tcW w:w="5820" w:type="dxa"/>
            <w:vAlign w:val="bottom"/>
            <w:tcBorders>
              <w:bottom w:val="single" w:sz="8" w:color="auto"/>
            </w:tcBorders>
            <w:shd w:val="clear" w:color="auto" w:fill="CCEDFF"/>
          </w:tcPr>
          <w:p>
            <w:pPr>
              <w:spacing w:after="0"/>
              <w:rPr>
                <w:sz w:val="19"/>
                <w:szCs w:val="19"/>
                <w:color w:val="auto"/>
              </w:rPr>
            </w:pPr>
          </w:p>
        </w:tc>
        <w:tc>
          <w:tcPr>
            <w:tcW w:w="3940" w:type="dxa"/>
            <w:vAlign w:val="bottom"/>
            <w:tcBorders>
              <w:bottom w:val="single" w:sz="8" w:color="auto"/>
            </w:tcBorders>
            <w:shd w:val="clear" w:color="auto" w:fill="CCEDFF"/>
          </w:tcPr>
          <w:p>
            <w:pPr>
              <w:jc w:val="right"/>
              <w:ind w:right="310"/>
              <w:spacing w:after="0"/>
              <w:rPr>
                <w:sz w:val="20"/>
                <w:szCs w:val="20"/>
                <w:color w:val="auto"/>
              </w:rPr>
            </w:pPr>
            <w:r>
              <w:rPr>
                <w:rFonts w:ascii="Arial" w:cs="Arial" w:eastAsia="Arial" w:hAnsi="Arial"/>
                <w:sz w:val="18"/>
                <w:szCs w:val="18"/>
                <w:color w:val="auto"/>
              </w:rPr>
              <w:t>59,158</w:t>
            </w:r>
          </w:p>
        </w:tc>
        <w:tc>
          <w:tcPr>
            <w:tcW w:w="14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76,313</w:t>
            </w:r>
          </w:p>
        </w:tc>
      </w:tr>
      <w:tr>
        <w:trPr>
          <w:trHeight w:val="223"/>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Identified intangible assets</w:t>
            </w:r>
          </w:p>
        </w:tc>
        <w:tc>
          <w:tcPr>
            <w:tcW w:w="3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70,075</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94,988</w:t>
            </w:r>
          </w:p>
        </w:tc>
      </w:tr>
      <w:tr>
        <w:trPr>
          <w:trHeight w:val="21"/>
        </w:trPr>
        <w:tc>
          <w:tcPr>
            <w:tcW w:w="5820" w:type="dxa"/>
            <w:vAlign w:val="bottom"/>
            <w:tcBorders>
              <w:bottom w:val="single" w:sz="8" w:color="auto"/>
            </w:tcBorders>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2024, the Company disposed $44.5 million of gross cost and accumulated amortization related to fully amortized customer and newspaper subscriber lists.</w:t>
      </w:r>
    </w:p>
    <w:p>
      <w:pPr>
        <w:spacing w:after="0" w:line="12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discussed in Note 1, the Company reviews goodwill and non-amortized intangible assets for impairment annually on the first day of the fourth quarter, or more frequently if events or changes in circumstances indicate that an asset may be impaired in accordance with ASC Topic 350.</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of the Company’s goodwill is attributed to the single reporting unit, which has a negative carrying value as of September 29, 2024. When evaluating these assets for impairment, we may first perform a qualitative assessment to determine whether it is more likely than not that a reporting unit is impaired, known as Step 0. If we do not perform a qualitative assessment, or if we determine that it is not more likely than not that the fair value of the reporting unit exceeds its carrying amount, we would calculate the estimated fair value of the reporting unit using discounted cash flows or a combination of discounted cash flow and market approaches. The Company performed its annual assessment on the first day of our fourth fiscal quarter, and determined the fair value of our single reporting unit was in excess of carrying value and as such, there was no impairment in 2024, 2023 and 2022. In 2024 and 2022, the Company sold certain non-core operations. Goodwill was allocated to these operations, which totaled $1.3 million and $1.3 million, respectively.</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mastheads, the calculated fair value includes Level 3 inputs that were determined using the relief from royalty method. The key assumptions used in the fair value estimates under the relief from royalty method are revenue and market growth, royalty rates for newspaper mastheads (the royalty rates utilized a range from 0.0% to 1.0%), estimated tax rates, and appropriate risk-adjusted weighted-average cost of capital (for 2024, 2023 and 2022, the weighted-average cost of capital used was 12.50%, 13.00% and 11.00%, respectively). These assumptions reflect Lee's best estimates, but these items involve inherent uncertainties based on market conditions generally outside of the Company's control. A 50-basis point decrease in royalty rates would result in an additional $ 4.6 million of impairment. Increasing the discount rate by 100 basis points would result in an additional $0.1 million of impairment. In 2024, 2023, and 2022, we recorded non-cash charges to reduce the carrying value of non-amortized intangible assets. Such charges are recorded in assets loss on sales, impairments and other in the Consolidated Statements of Income (Loss) and Comprehensive Income (Loss). We recorded deferred income tax benefits related to these charges. Changes in market conditions and declines in revenue lead to the impairment charges noted above.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pretax impairment charges is included in the table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32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2024</w:t>
            </w:r>
          </w:p>
        </w:tc>
        <w:tc>
          <w:tcPr>
            <w:tcW w:w="15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2023</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2022</w:t>
            </w:r>
          </w:p>
        </w:tc>
      </w:tr>
      <w:tr>
        <w:trPr>
          <w:trHeight w:val="250"/>
        </w:trPr>
        <w:tc>
          <w:tcPr>
            <w:tcW w:w="534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30"/>
        </w:trPr>
        <w:tc>
          <w:tcPr>
            <w:tcW w:w="5340" w:type="dxa"/>
            <w:vAlign w:val="bottom"/>
            <w:shd w:val="clear" w:color="auto" w:fill="CCEDFF"/>
          </w:tcPr>
          <w:p>
            <w:pPr>
              <w:ind w:left="140"/>
              <w:spacing w:after="0"/>
              <w:rPr>
                <w:sz w:val="20"/>
                <w:szCs w:val="20"/>
                <w:color w:val="auto"/>
              </w:rPr>
            </w:pPr>
            <w:r>
              <w:rPr>
                <w:rFonts w:ascii="Arial" w:cs="Arial" w:eastAsia="Arial" w:hAnsi="Arial"/>
                <w:sz w:val="18"/>
                <w:szCs w:val="18"/>
                <w:color w:val="auto"/>
              </w:rPr>
              <w:t>Non-amortized intangible assets</w:t>
            </w:r>
          </w:p>
        </w:tc>
        <w:tc>
          <w:tcPr>
            <w:tcW w:w="3260" w:type="dxa"/>
            <w:vAlign w:val="bottom"/>
            <w:shd w:val="clear" w:color="auto" w:fill="CCEDFF"/>
          </w:tcPr>
          <w:p>
            <w:pPr>
              <w:jc w:val="right"/>
              <w:ind w:right="510"/>
              <w:spacing w:after="0"/>
              <w:rPr>
                <w:sz w:val="20"/>
                <w:szCs w:val="20"/>
                <w:color w:val="auto"/>
              </w:rPr>
            </w:pPr>
            <w:r>
              <w:rPr>
                <w:rFonts w:ascii="Arial" w:cs="Arial" w:eastAsia="Arial" w:hAnsi="Arial"/>
                <w:sz w:val="18"/>
                <w:szCs w:val="18"/>
                <w:color w:val="auto"/>
              </w:rPr>
              <w:t>7,758</w:t>
            </w:r>
          </w:p>
        </w:tc>
        <w:tc>
          <w:tcPr>
            <w:tcW w:w="1520" w:type="dxa"/>
            <w:vAlign w:val="bottom"/>
            <w:shd w:val="clear" w:color="auto" w:fill="CCEDFF"/>
          </w:tcPr>
          <w:p>
            <w:pPr>
              <w:jc w:val="right"/>
              <w:ind w:right="450"/>
              <w:spacing w:after="0"/>
              <w:rPr>
                <w:sz w:val="20"/>
                <w:szCs w:val="20"/>
                <w:color w:val="auto"/>
              </w:rPr>
            </w:pPr>
            <w:r>
              <w:rPr>
                <w:rFonts w:ascii="Arial" w:cs="Arial" w:eastAsia="Arial" w:hAnsi="Arial"/>
                <w:sz w:val="18"/>
                <w:szCs w:val="18"/>
                <w:color w:val="auto"/>
              </w:rPr>
              <w:t>7,671</w:t>
            </w:r>
          </w:p>
        </w:tc>
        <w:tc>
          <w:tcPr>
            <w:tcW w:w="1120" w:type="dxa"/>
            <w:vAlign w:val="bottom"/>
            <w:shd w:val="clear" w:color="auto" w:fill="CCEDFF"/>
          </w:tcPr>
          <w:p>
            <w:pPr>
              <w:jc w:val="right"/>
              <w:spacing w:after="0"/>
              <w:rPr>
                <w:sz w:val="20"/>
                <w:szCs w:val="20"/>
                <w:color w:val="auto"/>
              </w:rPr>
            </w:pPr>
            <w:r>
              <w:rPr>
                <w:rFonts w:ascii="Arial" w:cs="Arial" w:eastAsia="Arial" w:hAnsi="Arial"/>
                <w:sz w:val="18"/>
                <w:szCs w:val="18"/>
                <w:color w:val="auto"/>
              </w:rPr>
              <w:t>14,203</w:t>
            </w:r>
          </w:p>
        </w:tc>
      </w:tr>
      <w:tr>
        <w:trPr>
          <w:trHeight w:val="230"/>
        </w:trPr>
        <w:tc>
          <w:tcPr>
            <w:tcW w:w="53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Property, equipment and other assets</w:t>
            </w:r>
          </w:p>
        </w:tc>
        <w:tc>
          <w:tcPr>
            <w:tcW w:w="3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340" w:type="dxa"/>
            <w:vAlign w:val="bottom"/>
            <w:tcBorders>
              <w:bottom w:val="single" w:sz="8" w:color="auto"/>
            </w:tcBorders>
            <w:shd w:val="clear" w:color="auto" w:fill="CCEDFF"/>
          </w:tcPr>
          <w:p>
            <w:pPr>
              <w:spacing w:after="0"/>
              <w:rPr>
                <w:sz w:val="19"/>
                <w:szCs w:val="19"/>
                <w:color w:val="auto"/>
              </w:rPr>
            </w:pPr>
          </w:p>
        </w:tc>
        <w:tc>
          <w:tcPr>
            <w:tcW w:w="3260" w:type="dxa"/>
            <w:vAlign w:val="bottom"/>
            <w:tcBorders>
              <w:bottom w:val="single" w:sz="8" w:color="auto"/>
            </w:tcBorders>
            <w:shd w:val="clear" w:color="auto" w:fill="CCEDFF"/>
          </w:tcPr>
          <w:p>
            <w:pPr>
              <w:jc w:val="right"/>
              <w:ind w:right="510"/>
              <w:spacing w:after="0"/>
              <w:rPr>
                <w:sz w:val="20"/>
                <w:szCs w:val="20"/>
                <w:color w:val="auto"/>
              </w:rPr>
            </w:pPr>
            <w:r>
              <w:rPr>
                <w:rFonts w:ascii="Arial" w:cs="Arial" w:eastAsia="Arial" w:hAnsi="Arial"/>
                <w:sz w:val="18"/>
                <w:szCs w:val="18"/>
                <w:color w:val="auto"/>
              </w:rPr>
              <w:t>7,758</w:t>
            </w:r>
          </w:p>
        </w:tc>
        <w:tc>
          <w:tcPr>
            <w:tcW w:w="1520" w:type="dxa"/>
            <w:vAlign w:val="bottom"/>
            <w:tcBorders>
              <w:bottom w:val="single" w:sz="8" w:color="auto"/>
            </w:tcBorders>
            <w:shd w:val="clear" w:color="auto" w:fill="CCEDFF"/>
          </w:tcPr>
          <w:p>
            <w:pPr>
              <w:jc w:val="right"/>
              <w:ind w:right="450"/>
              <w:spacing w:after="0"/>
              <w:rPr>
                <w:sz w:val="20"/>
                <w:szCs w:val="20"/>
                <w:color w:val="auto"/>
              </w:rPr>
            </w:pPr>
            <w:r>
              <w:rPr>
                <w:rFonts w:ascii="Arial" w:cs="Arial" w:eastAsia="Arial" w:hAnsi="Arial"/>
                <w:sz w:val="18"/>
                <w:szCs w:val="18"/>
                <w:color w:val="auto"/>
              </w:rPr>
              <w:t>7,671</w:t>
            </w:r>
          </w:p>
        </w:tc>
        <w:tc>
          <w:tcPr>
            <w:tcW w:w="112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14,203</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2024, 2023, and 2022 was $17.2 million, $19.0 million, and $22.2 million, respectively.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Annual amortization of intangible assets for the years ending September 2025 to September 2029 is estimated to be $11.2 million, $7.1 million, $7.1 million, $5.7 million, and $4.9 million, respectively.</w:t>
      </w:r>
    </w:p>
    <w:p>
      <w:pPr>
        <w:spacing w:after="0" w:line="126" w:lineRule="exact"/>
        <w:rPr>
          <w:sz w:val="20"/>
          <w:szCs w:val="20"/>
          <w:color w:val="auto"/>
        </w:rPr>
      </w:pPr>
    </w:p>
    <w:p>
      <w:pPr>
        <w:ind w:left="360" w:hanging="352"/>
        <w:spacing w:after="0"/>
        <w:tabs>
          <w:tab w:leader="none" w:pos="3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March 16, 2020 concurrent with closing the acquisition of BH Media Group, Inc. and The Buffalo News, Inc., the Company completed a comprehensive refinancing of its debt (the "2020 Refinancing"). The 2020 Refinancing consists of the Credit Agreement and Term Loan. The proceeds of the Term Loan were used, along with cash on hand, to refinance the Company's $431.5 million it incurred in 2014 (the "2014 Refinancing") as well as to fund the acquisition of BH Media Newspaper Business assets and the stock of Buffalo News for $ 140.0 million in cash. With the closing of this transaction, BH Finance became Lee's sole lender. Proceeds of the Term Loan were used to finance the acquisition of BH Media Group, Inc. and The Buffalo News, Inc., and refinance all of the Company's outstanding debt at par. The Term Loan matures in March 2045. The Company's debt is collateralized by all Company assets.</w:t>
      </w:r>
    </w:p>
    <w:p>
      <w:pPr>
        <w:spacing w:after="0" w:line="14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September 29, 2024 and September 24, 2023, the Company has $445.9 million and $455.7 million, respectively in aggregate principal debt outstanding under the Term Loan. The debt has a fixed interest rate of 9.0%.</w:t>
      </w:r>
    </w:p>
    <w:p>
      <w:pPr>
        <w:spacing w:after="0" w:line="12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twelve months ended September 29, 2024, we made principal debt payments of $ 9.8 million. Payments were from the sale of non-core assets. Future payments are contingent on the Company's ability to generate future Excess Cash Flow, as defined in the Credit Agreement.</w:t>
      </w:r>
    </w:p>
    <w:p>
      <w:pPr>
        <w:spacing w:after="0" w:line="13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Credit Agreement contains certain customary representations and warranties, certain affirmative and negative covenants and certain conditions, including restrictions on incurring additional indebtedness, creating certain liens, making certain investments or acquisitions, issuing dividends, repurchasing shares of stock of the Company and certain other capital transactions. Certain existing and future direct and indirect material domestic subsidiaries of the Company are guarantors of the Company's obligations under the Credit Agreement.</w:t>
      </w:r>
    </w:p>
    <w:p>
      <w:pPr>
        <w:spacing w:after="0" w:line="1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Credit Agreement restricts us from paying dividends on our Common Stock. This restriction does not apply to dividends issued with the Company's Equity Interests or from the proceeds of a sale of the Company's Equity Interests. Further, the Credit Agreement restricts or limits, among other things, subject to certain exceptions, the ability of the Company and its subsidiaries to: (i) incur additional indebtedness,</w:t>
      </w:r>
    </w:p>
    <w:p>
      <w:pPr>
        <w:spacing w:after="0" w:line="1" w:lineRule="exact"/>
        <w:rPr>
          <w:sz w:val="20"/>
          <w:szCs w:val="20"/>
          <w:color w:val="auto"/>
        </w:rPr>
      </w:pPr>
    </w:p>
    <w:p>
      <w:pPr>
        <w:jc w:val="both"/>
        <w:ind w:firstLine="8"/>
        <w:spacing w:after="0" w:line="255" w:lineRule="auto"/>
        <w:tabs>
          <w:tab w:leader="none" w:pos="266"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certain investments, (iii) enter into mergers, acquisitions and asset sales, (iv) incur or create liens and (v) enter into transactions with certain affiliates. The Credit Agreement contains various representations and warranties by the Company and may be terminated upon the occurrence of certain events of default, including non-payment. The Credit Agreement also contains cross-default provisions tied to other agreements with BH Finance entered into by the Company and its subsidiaries in connection with the 2020 Refinancing.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Payments</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Voluntary prepayments under the Credit Agreement are not subject to call premiums and are payable at par, with the exception of the change-of-control provisions discussed below.</w:t>
      </w:r>
    </w:p>
    <w:p>
      <w:pPr>
        <w:spacing w:after="0" w:line="11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Excluding the Excess Cash Flow payments described below, there are no scheduled mandatory principal payments required under the Credit Agreement. The Company is required to make mandatory prepayments of the Term Loan as follows:</w:t>
      </w:r>
    </w:p>
    <w:p>
      <w:pPr>
        <w:spacing w:after="0" w:line="126" w:lineRule="exact"/>
        <w:rPr>
          <w:sz w:val="20"/>
          <w:szCs w:val="20"/>
          <w:color w:val="auto"/>
        </w:rPr>
      </w:pPr>
    </w:p>
    <w:p>
      <w:pPr>
        <w:jc w:val="both"/>
        <w:ind w:left="980" w:hanging="324"/>
        <w:spacing w:after="0" w:line="268"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must prepay the Term Loan in an aggregate amount equal to 100% of any Net Cash Proceeds received by the Company or any Subsidiary from a sale, transfer, license, or other disposition of any property of the Company or any subsidiary in excess of $0.5 million in any ninety (90) day period.</w:t>
      </w:r>
    </w:p>
    <w:p>
      <w:pPr>
        <w:spacing w:after="0" w:line="130" w:lineRule="exact"/>
        <w:rPr>
          <w:rFonts w:ascii="Arial" w:cs="Arial" w:eastAsia="Arial" w:hAnsi="Arial"/>
          <w:sz w:val="18"/>
          <w:szCs w:val="18"/>
          <w:color w:val="auto"/>
        </w:rPr>
      </w:pPr>
    </w:p>
    <w:p>
      <w:pPr>
        <w:jc w:val="both"/>
        <w:ind w:left="980" w:hanging="324"/>
        <w:spacing w:after="0" w:line="268"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is required to prepay the Term Loan with excess cash flow, defined as cash on the balance sheet at quarter-end in excess of $20.0 million ("Excess Cash Flow"). Excess Cash Flow is used to prepay the Term Loan, at par, and is due within 50-days of quarter-end.</w:t>
      </w:r>
    </w:p>
    <w:p>
      <w:pPr>
        <w:spacing w:after="0" w:line="130" w:lineRule="exact"/>
        <w:rPr>
          <w:rFonts w:ascii="Arial" w:cs="Arial" w:eastAsia="Arial" w:hAnsi="Arial"/>
          <w:sz w:val="18"/>
          <w:szCs w:val="18"/>
          <w:color w:val="auto"/>
        </w:rPr>
      </w:pPr>
    </w:p>
    <w:p>
      <w:pPr>
        <w:ind w:left="980" w:hanging="324"/>
        <w:spacing w:after="0" w:line="287"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there is a Change of Control (as defined in the Credit Agreement), BH Finance has the option to require the Company to prepay the Term Loan in cash equal to 105% of the unpaid principal balance, plus accrued and unpaid interest.</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may, upon notice to BH Finance, at any time or from time to time, voluntarily prepay the Term Loan in whole or in part, at par, provided that any voluntary prepayment of the Term Loan shall be accompanied by payment of all accrued interest on the amount of principal prepaid to the date of prepayment.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terms of the Credit Agreement, our debt does not include a revolver.</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liquidity, consisting of cash on the balance sheet, totals $9.6 million at September 29, 2024. This liquidity amount excludes any future cash flows. We expect all interest and principal payments due in the next twelve months will be satisfied by existing cash and our cash flows, which will allow us to maintain an adequate level of liquidity.</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There are numerous potential consequences under the Term Loan if an event of default, as defined, occurs and is not remedied. Many of those consequences are beyond our control. The occurrence of one or more events of default would give rise to the right of BH Finance to exercise their remedies under the Credit Agreement including, without limitation, the right to accelerate all outstanding debt and take actions authorized in such circumstances under applicable collateral security documents.</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ability to operate as a going concern is dependent on our ability to remain in compliance with debt covenants and to repay, refinance or amend our debt agreements as they become due. The Credit Agreement (as defined above) has only limited affirmative covenants with which we are required to maintain compliance and there are no leverage or financial performance covenants. We are in compliance with our debt covenants at September 29, 2024.</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60" w:hanging="352"/>
        <w:spacing w:after="0"/>
        <w:tabs>
          <w:tab w:leader="none" w:pos="3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lease certain real estate, vehicles, and equipment. Our leases have remaining lease terms of 1 to 40 years, some of which may include options to extend the leases, and some of which may include options to terminate the leases. The exercise of lease renewal options and terminations are at our sole discretion. The depreciable lives of assets and leasehold improvements are limited by the expected lease term unless there is a transfer of title or purchase option reasonably certain of exercise.</w:t>
      </w:r>
    </w:p>
    <w:p>
      <w:pPr>
        <w:spacing w:after="0" w:line="13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entered into a lease agreement between BH Media, as Landlord, and the Company, as Tenant, providing for the leasing of 68 properties and related fixtures (including production equipment) used in the BH Media Newspaper Business ("BH Lease"). The BH Lease commenced on March 16, 2020. The BH Lease requires the Company to pay annual rent of $8.0 million, payable in equal payments, as well as all operating costs relating to the properties (including maintenance, repairs, property taxes and insurance). Rent payments are subject to a Rent Credit (as defined in the Lease) equal to 8.00% of the net consideration for any leased real estate sold by BH Media during the term of the lease. As of September 29, 2024, the Company has earned monthly rent credits of $0.3 million, making current annual rent of $5.0 million.</w:t>
      </w:r>
    </w:p>
    <w:p>
      <w:pPr>
        <w:spacing w:after="0" w:line="14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period ended September 25, 2022, the Company permanently vacated office and distribution space related to 14 leases. The space was vacated as some of our locations have transitioned to long-term remote working arrangements and space consolidation. The abandonment of lease space is an indicator of impairment and the Company assessed the lease ROU asset and leasehold improvements for impairment. Estimates of fair value include Level 3 inputs which are subjective in nature and involve uncertainties and matters of significant judgment and are made at a specific point in time. During the period ended September 25, 2022, the Company recorded non-cash impairment losses of $7.8 million for right-of-use assets, which is recorded on the Consolidated Statements of (Loss) Income and Comprehensive (Loss) Income under the line item assets loss (gain) on sales, impairments and other.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Total lease expense consists of the following: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344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rPr>
              <w:t>2024</w:t>
            </w:r>
          </w:p>
        </w:tc>
        <w:tc>
          <w:tcPr>
            <w:tcW w:w="20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2023</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2022</w:t>
            </w:r>
          </w:p>
        </w:tc>
      </w:tr>
      <w:tr>
        <w:trPr>
          <w:trHeight w:val="223"/>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34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11,925</w:t>
            </w:r>
          </w:p>
        </w:tc>
        <w:tc>
          <w:tcPr>
            <w:tcW w:w="20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12,688</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13,786</w:t>
            </w: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Variable lease costs</w:t>
            </w:r>
          </w:p>
        </w:tc>
        <w:tc>
          <w:tcPr>
            <w:tcW w:w="3440" w:type="dxa"/>
            <w:vAlign w:val="bottom"/>
          </w:tcPr>
          <w:p>
            <w:pPr>
              <w:jc w:val="right"/>
              <w:ind w:right="830"/>
              <w:spacing w:after="0"/>
              <w:rPr>
                <w:sz w:val="20"/>
                <w:szCs w:val="20"/>
                <w:color w:val="auto"/>
              </w:rPr>
            </w:pPr>
            <w:r>
              <w:rPr>
                <w:rFonts w:ascii="Arial" w:cs="Arial" w:eastAsia="Arial" w:hAnsi="Arial"/>
                <w:sz w:val="18"/>
                <w:szCs w:val="18"/>
                <w:color w:val="auto"/>
              </w:rPr>
              <w:t>996</w:t>
            </w:r>
          </w:p>
        </w:tc>
        <w:tc>
          <w:tcPr>
            <w:tcW w:w="2080" w:type="dxa"/>
            <w:vAlign w:val="bottom"/>
          </w:tcPr>
          <w:p>
            <w:pPr>
              <w:jc w:val="right"/>
              <w:ind w:right="570"/>
              <w:spacing w:after="0"/>
              <w:rPr>
                <w:sz w:val="20"/>
                <w:szCs w:val="20"/>
                <w:color w:val="auto"/>
              </w:rPr>
            </w:pPr>
            <w:r>
              <w:rPr>
                <w:rFonts w:ascii="Arial" w:cs="Arial" w:eastAsia="Arial" w:hAnsi="Arial"/>
                <w:sz w:val="18"/>
                <w:szCs w:val="18"/>
                <w:color w:val="auto"/>
              </w:rPr>
              <w:t>1,175</w:t>
            </w:r>
          </w:p>
        </w:tc>
        <w:tc>
          <w:tcPr>
            <w:tcW w:w="1220" w:type="dxa"/>
            <w:vAlign w:val="bottom"/>
          </w:tcPr>
          <w:p>
            <w:pPr>
              <w:jc w:val="right"/>
              <w:spacing w:after="0"/>
              <w:rPr>
                <w:sz w:val="20"/>
                <w:szCs w:val="20"/>
                <w:color w:val="auto"/>
              </w:rPr>
            </w:pPr>
            <w:r>
              <w:rPr>
                <w:rFonts w:ascii="Arial" w:cs="Arial" w:eastAsia="Arial" w:hAnsi="Arial"/>
                <w:sz w:val="18"/>
                <w:szCs w:val="18"/>
                <w:color w:val="auto"/>
              </w:rPr>
              <w:t>1,201</w:t>
            </w:r>
          </w:p>
        </w:tc>
      </w:tr>
      <w:tr>
        <w:trPr>
          <w:trHeight w:val="229"/>
        </w:trPr>
        <w:tc>
          <w:tcPr>
            <w:tcW w:w="4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Short-term lease costs</w:t>
            </w:r>
          </w:p>
        </w:tc>
        <w:tc>
          <w:tcPr>
            <w:tcW w:w="34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rPr>
              <w:t>301</w:t>
            </w:r>
          </w:p>
        </w:tc>
        <w:tc>
          <w:tcPr>
            <w:tcW w:w="208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355</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23"/>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Operating Lease Expense</w:t>
            </w:r>
          </w:p>
        </w:tc>
        <w:tc>
          <w:tcPr>
            <w:tcW w:w="34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13,222</w:t>
            </w:r>
          </w:p>
        </w:tc>
        <w:tc>
          <w:tcPr>
            <w:tcW w:w="20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14,218</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15,204</w:t>
            </w:r>
          </w:p>
        </w:tc>
      </w:tr>
      <w:tr>
        <w:trPr>
          <w:trHeight w:val="20"/>
        </w:trPr>
        <w:tc>
          <w:tcPr>
            <w:tcW w:w="450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our operating leases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292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rPr>
              <w:t>2024</w:t>
            </w:r>
          </w:p>
        </w:tc>
        <w:tc>
          <w:tcPr>
            <w:tcW w:w="20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2023</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177"/>
        </w:trPr>
        <w:tc>
          <w:tcPr>
            <w:tcW w:w="5020" w:type="dxa"/>
            <w:vAlign w:val="bottom"/>
            <w:shd w:val="clear" w:color="auto" w:fill="CCEEFF"/>
          </w:tcPr>
          <w:p>
            <w:pPr>
              <w:ind w:left="20"/>
              <w:spacing w:after="0" w:line="177" w:lineRule="exact"/>
              <w:rPr>
                <w:sz w:val="20"/>
                <w:szCs w:val="20"/>
                <w:color w:val="auto"/>
              </w:rPr>
            </w:pPr>
            <w:r>
              <w:rPr>
                <w:rFonts w:ascii="Arial" w:cs="Arial" w:eastAsia="Arial" w:hAnsi="Arial"/>
                <w:sz w:val="18"/>
                <w:szCs w:val="18"/>
                <w:color w:val="auto"/>
              </w:rPr>
              <w:t>Cash paid for amounts included in the measurement of</w:t>
            </w:r>
          </w:p>
        </w:tc>
        <w:tc>
          <w:tcPr>
            <w:tcW w:w="292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5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2920" w:type="dxa"/>
            <w:vAlign w:val="bottom"/>
            <w:tcBorders>
              <w:bottom w:val="single" w:sz="8" w:color="auto"/>
            </w:tcBorders>
            <w:shd w:val="clear" w:color="auto" w:fill="CCEEFF"/>
          </w:tcPr>
          <w:p>
            <w:pPr>
              <w:spacing w:after="0"/>
              <w:rPr>
                <w:sz w:val="20"/>
                <w:szCs w:val="20"/>
                <w:color w:val="auto"/>
              </w:rPr>
            </w:pPr>
          </w:p>
        </w:tc>
        <w:tc>
          <w:tcPr>
            <w:tcW w:w="20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20" w:type="dxa"/>
            <w:vAlign w:val="bottom"/>
          </w:tcPr>
          <w:p>
            <w:pPr>
              <w:ind w:left="140"/>
              <w:spacing w:after="0"/>
              <w:rPr>
                <w:sz w:val="20"/>
                <w:szCs w:val="20"/>
                <w:color w:val="auto"/>
              </w:rPr>
            </w:pPr>
            <w:r>
              <w:rPr>
                <w:rFonts w:ascii="Arial" w:cs="Arial" w:eastAsia="Arial" w:hAnsi="Arial"/>
                <w:sz w:val="18"/>
                <w:szCs w:val="18"/>
                <w:color w:val="auto"/>
              </w:rPr>
              <w:t>Operating cash outflow from operating leases</w:t>
            </w:r>
          </w:p>
        </w:tc>
        <w:tc>
          <w:tcPr>
            <w:tcW w:w="2920" w:type="dxa"/>
            <w:vAlign w:val="bottom"/>
          </w:tcPr>
          <w:p>
            <w:pPr>
              <w:jc w:val="right"/>
              <w:ind w:right="830"/>
              <w:spacing w:after="0"/>
              <w:rPr>
                <w:sz w:val="20"/>
                <w:szCs w:val="20"/>
                <w:color w:val="auto"/>
              </w:rPr>
            </w:pPr>
            <w:r>
              <w:rPr>
                <w:rFonts w:ascii="Arial" w:cs="Arial" w:eastAsia="Arial" w:hAnsi="Arial"/>
                <w:sz w:val="18"/>
                <w:szCs w:val="18"/>
                <w:color w:val="auto"/>
              </w:rPr>
              <w:t>12,540</w:t>
            </w:r>
          </w:p>
        </w:tc>
        <w:tc>
          <w:tcPr>
            <w:tcW w:w="2080" w:type="dxa"/>
            <w:vAlign w:val="bottom"/>
          </w:tcPr>
          <w:p>
            <w:pPr>
              <w:jc w:val="right"/>
              <w:ind w:right="570"/>
              <w:spacing w:after="0"/>
              <w:rPr>
                <w:sz w:val="20"/>
                <w:szCs w:val="20"/>
                <w:color w:val="auto"/>
              </w:rPr>
            </w:pPr>
            <w:r>
              <w:rPr>
                <w:rFonts w:ascii="Arial" w:cs="Arial" w:eastAsia="Arial" w:hAnsi="Arial"/>
                <w:sz w:val="18"/>
                <w:szCs w:val="18"/>
                <w:color w:val="auto"/>
              </w:rPr>
              <w:t>13,403</w:t>
            </w:r>
          </w:p>
        </w:tc>
        <w:tc>
          <w:tcPr>
            <w:tcW w:w="1220" w:type="dxa"/>
            <w:vAlign w:val="bottom"/>
          </w:tcPr>
          <w:p>
            <w:pPr>
              <w:jc w:val="right"/>
              <w:spacing w:after="0"/>
              <w:rPr>
                <w:sz w:val="20"/>
                <w:szCs w:val="20"/>
                <w:color w:val="auto"/>
              </w:rPr>
            </w:pPr>
            <w:r>
              <w:rPr>
                <w:rFonts w:ascii="Arial" w:cs="Arial" w:eastAsia="Arial" w:hAnsi="Arial"/>
                <w:sz w:val="18"/>
                <w:szCs w:val="18"/>
                <w:color w:val="auto"/>
              </w:rPr>
              <w:t>14,325</w:t>
            </w:r>
          </w:p>
        </w:tc>
        <w:tc>
          <w:tcPr>
            <w:tcW w:w="0" w:type="dxa"/>
            <w:vAlign w:val="bottom"/>
          </w:tcPr>
          <w:p>
            <w:pPr>
              <w:spacing w:after="0"/>
              <w:rPr>
                <w:sz w:val="1"/>
                <w:szCs w:val="1"/>
                <w:color w:val="auto"/>
              </w:rPr>
            </w:pPr>
          </w:p>
        </w:tc>
      </w:tr>
      <w:tr>
        <w:trPr>
          <w:trHeight w:val="184"/>
        </w:trPr>
        <w:tc>
          <w:tcPr>
            <w:tcW w:w="5020" w:type="dxa"/>
            <w:vAlign w:val="bottom"/>
            <w:shd w:val="clear" w:color="auto" w:fill="CCEEFF"/>
          </w:tcPr>
          <w:p>
            <w:pPr>
              <w:ind w:left="140"/>
              <w:spacing w:after="0" w:line="183" w:lineRule="exact"/>
              <w:rPr>
                <w:sz w:val="20"/>
                <w:szCs w:val="20"/>
                <w:color w:val="auto"/>
              </w:rPr>
            </w:pPr>
            <w:r>
              <w:rPr>
                <w:rFonts w:ascii="Arial" w:cs="Arial" w:eastAsia="Arial" w:hAnsi="Arial"/>
                <w:sz w:val="18"/>
                <w:szCs w:val="18"/>
                <w:color w:val="auto"/>
              </w:rPr>
              <w:t>Right-of-use assets obtained in exchange for operating</w:t>
            </w:r>
          </w:p>
        </w:tc>
        <w:tc>
          <w:tcPr>
            <w:tcW w:w="2920" w:type="dxa"/>
            <w:vAlign w:val="bottom"/>
            <w:vMerge w:val="restart"/>
            <w:shd w:val="clear" w:color="auto" w:fill="CCEEFF"/>
          </w:tcPr>
          <w:p>
            <w:pPr>
              <w:jc w:val="right"/>
              <w:ind w:right="830"/>
              <w:spacing w:after="0"/>
              <w:rPr>
                <w:sz w:val="20"/>
                <w:szCs w:val="20"/>
                <w:color w:val="auto"/>
              </w:rPr>
            </w:pPr>
            <w:r>
              <w:rPr>
                <w:rFonts w:ascii="Arial" w:cs="Arial" w:eastAsia="Arial" w:hAnsi="Arial"/>
                <w:sz w:val="18"/>
                <w:szCs w:val="18"/>
                <w:color w:val="auto"/>
              </w:rPr>
              <w:t>4,679</w:t>
            </w:r>
          </w:p>
        </w:tc>
        <w:tc>
          <w:tcPr>
            <w:tcW w:w="2080" w:type="dxa"/>
            <w:vAlign w:val="bottom"/>
            <w:vMerge w:val="restart"/>
            <w:shd w:val="clear" w:color="auto" w:fill="CCEEFF"/>
          </w:tcPr>
          <w:p>
            <w:pPr>
              <w:jc w:val="right"/>
              <w:ind w:right="570"/>
              <w:spacing w:after="0"/>
              <w:rPr>
                <w:sz w:val="20"/>
                <w:szCs w:val="20"/>
                <w:color w:val="auto"/>
              </w:rPr>
            </w:pPr>
            <w:r>
              <w:rPr>
                <w:rFonts w:ascii="Arial" w:cs="Arial" w:eastAsia="Arial" w:hAnsi="Arial"/>
                <w:sz w:val="18"/>
                <w:szCs w:val="18"/>
                <w:color w:val="auto"/>
              </w:rPr>
              <w:t>3,855</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35"/>
        </w:trPr>
        <w:tc>
          <w:tcPr>
            <w:tcW w:w="50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lease liabilities</w:t>
            </w:r>
          </w:p>
        </w:tc>
        <w:tc>
          <w:tcPr>
            <w:tcW w:w="2920" w:type="dxa"/>
            <w:vAlign w:val="bottom"/>
            <w:tcBorders>
              <w:bottom w:val="single" w:sz="8" w:color="auto"/>
            </w:tcBorders>
            <w:vMerge w:val="continue"/>
            <w:shd w:val="clear" w:color="auto" w:fill="CCEEFF"/>
          </w:tcPr>
          <w:p>
            <w:pPr>
              <w:spacing w:after="0"/>
              <w:rPr>
                <w:sz w:val="20"/>
                <w:szCs w:val="20"/>
                <w:color w:val="auto"/>
              </w:rPr>
            </w:pPr>
          </w:p>
        </w:tc>
        <w:tc>
          <w:tcPr>
            <w:tcW w:w="20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915"/>
        </w:trPr>
        <w:tc>
          <w:tcPr>
            <w:tcW w:w="5020" w:type="dxa"/>
            <w:vAlign w:val="bottom"/>
          </w:tcPr>
          <w:p>
            <w:pPr>
              <w:spacing w:after="0"/>
              <w:rPr>
                <w:sz w:val="24"/>
                <w:szCs w:val="24"/>
                <w:color w:val="auto"/>
              </w:rPr>
            </w:pPr>
          </w:p>
        </w:tc>
        <w:tc>
          <w:tcPr>
            <w:tcW w:w="2920" w:type="dxa"/>
            <w:vAlign w:val="bottom"/>
          </w:tcPr>
          <w:p>
            <w:pPr>
              <w:jc w:val="right"/>
              <w:ind w:right="2130"/>
              <w:spacing w:after="0"/>
              <w:rPr>
                <w:sz w:val="20"/>
                <w:szCs w:val="20"/>
                <w:color w:val="auto"/>
              </w:rPr>
            </w:pPr>
            <w:r>
              <w:rPr>
                <w:rFonts w:ascii="Arial" w:cs="Arial" w:eastAsia="Arial" w:hAnsi="Arial"/>
                <w:sz w:val="18"/>
                <w:szCs w:val="18"/>
                <w:color w:val="auto"/>
              </w:rPr>
              <w:t>49</w:t>
            </w:r>
          </w:p>
        </w:tc>
        <w:tc>
          <w:tcPr>
            <w:tcW w:w="2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5020" w:type="dxa"/>
            <w:vAlign w:val="bottom"/>
            <w:tcBorders>
              <w:bottom w:val="single" w:sz="8" w:color="9A9A9A"/>
            </w:tcBorders>
          </w:tcPr>
          <w:p>
            <w:pPr>
              <w:spacing w:after="0"/>
              <w:rPr>
                <w:sz w:val="8"/>
                <w:szCs w:val="8"/>
                <w:color w:val="auto"/>
              </w:rPr>
            </w:pPr>
          </w:p>
        </w:tc>
        <w:tc>
          <w:tcPr>
            <w:tcW w:w="2920" w:type="dxa"/>
            <w:vAlign w:val="bottom"/>
            <w:tcBorders>
              <w:bottom w:val="single" w:sz="8" w:color="9A9A9A"/>
            </w:tcBorders>
          </w:tcPr>
          <w:p>
            <w:pPr>
              <w:spacing w:after="0"/>
              <w:rPr>
                <w:sz w:val="8"/>
                <w:szCs w:val="8"/>
                <w:color w:val="auto"/>
              </w:rPr>
            </w:pPr>
          </w:p>
        </w:tc>
        <w:tc>
          <w:tcPr>
            <w:tcW w:w="208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29, 2024, maturities of lease liabilities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(Thousands of Dollars)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580" w:type="dxa"/>
            <w:vAlign w:val="bottom"/>
            <w:tcBorders>
              <w:top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2025</w:t>
            </w:r>
          </w:p>
        </w:tc>
        <w:tc>
          <w:tcPr>
            <w:tcW w:w="4660" w:type="dxa"/>
            <w:vAlign w:val="bottom"/>
            <w:tcBorders>
              <w:top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11,814</w:t>
            </w:r>
          </w:p>
        </w:tc>
      </w:tr>
      <w:tr>
        <w:trPr>
          <w:trHeight w:val="230"/>
        </w:trPr>
        <w:tc>
          <w:tcPr>
            <w:tcW w:w="6580" w:type="dxa"/>
            <w:vAlign w:val="bottom"/>
          </w:tcPr>
          <w:p>
            <w:pPr>
              <w:ind w:left="20"/>
              <w:spacing w:after="0"/>
              <w:rPr>
                <w:sz w:val="20"/>
                <w:szCs w:val="20"/>
                <w:color w:val="auto"/>
              </w:rPr>
            </w:pPr>
            <w:r>
              <w:rPr>
                <w:rFonts w:ascii="Arial" w:cs="Arial" w:eastAsia="Arial" w:hAnsi="Arial"/>
                <w:sz w:val="18"/>
                <w:szCs w:val="18"/>
                <w:color w:val="auto"/>
              </w:rPr>
              <w:t>2026</w:t>
            </w:r>
          </w:p>
        </w:tc>
        <w:tc>
          <w:tcPr>
            <w:tcW w:w="4660" w:type="dxa"/>
            <w:vAlign w:val="bottom"/>
          </w:tcPr>
          <w:p>
            <w:pPr>
              <w:jc w:val="right"/>
              <w:spacing w:after="0"/>
              <w:rPr>
                <w:sz w:val="20"/>
                <w:szCs w:val="20"/>
                <w:color w:val="auto"/>
              </w:rPr>
            </w:pPr>
            <w:r>
              <w:rPr>
                <w:rFonts w:ascii="Arial" w:cs="Arial" w:eastAsia="Arial" w:hAnsi="Arial"/>
                <w:sz w:val="18"/>
                <w:szCs w:val="18"/>
                <w:color w:val="auto"/>
              </w:rPr>
              <w:t>10,078</w:t>
            </w:r>
          </w:p>
        </w:tc>
      </w:tr>
      <w:tr>
        <w:trPr>
          <w:trHeight w:val="229"/>
        </w:trPr>
        <w:tc>
          <w:tcPr>
            <w:tcW w:w="6580" w:type="dxa"/>
            <w:vAlign w:val="bottom"/>
            <w:shd w:val="clear" w:color="auto" w:fill="CCEDFF"/>
          </w:tcPr>
          <w:p>
            <w:pPr>
              <w:ind w:left="20"/>
              <w:spacing w:after="0"/>
              <w:rPr>
                <w:sz w:val="20"/>
                <w:szCs w:val="20"/>
                <w:color w:val="auto"/>
              </w:rPr>
            </w:pPr>
            <w:r>
              <w:rPr>
                <w:rFonts w:ascii="Arial" w:cs="Arial" w:eastAsia="Arial" w:hAnsi="Arial"/>
                <w:sz w:val="18"/>
                <w:szCs w:val="18"/>
                <w:color w:val="auto"/>
              </w:rPr>
              <w:t>2027</w:t>
            </w:r>
          </w:p>
        </w:tc>
        <w:tc>
          <w:tcPr>
            <w:tcW w:w="4660" w:type="dxa"/>
            <w:vAlign w:val="bottom"/>
            <w:shd w:val="clear" w:color="auto" w:fill="CCEDFF"/>
          </w:tcPr>
          <w:p>
            <w:pPr>
              <w:jc w:val="right"/>
              <w:spacing w:after="0"/>
              <w:rPr>
                <w:sz w:val="20"/>
                <w:szCs w:val="20"/>
                <w:color w:val="auto"/>
              </w:rPr>
            </w:pPr>
            <w:r>
              <w:rPr>
                <w:rFonts w:ascii="Arial" w:cs="Arial" w:eastAsia="Arial" w:hAnsi="Arial"/>
                <w:sz w:val="18"/>
                <w:szCs w:val="18"/>
                <w:color w:val="auto"/>
              </w:rPr>
              <w:t>8,067</w:t>
            </w:r>
          </w:p>
        </w:tc>
      </w:tr>
      <w:tr>
        <w:trPr>
          <w:trHeight w:val="230"/>
        </w:trPr>
        <w:tc>
          <w:tcPr>
            <w:tcW w:w="6580" w:type="dxa"/>
            <w:vAlign w:val="bottom"/>
          </w:tcPr>
          <w:p>
            <w:pPr>
              <w:ind w:left="20"/>
              <w:spacing w:after="0"/>
              <w:rPr>
                <w:sz w:val="20"/>
                <w:szCs w:val="20"/>
                <w:color w:val="auto"/>
              </w:rPr>
            </w:pPr>
            <w:r>
              <w:rPr>
                <w:rFonts w:ascii="Arial" w:cs="Arial" w:eastAsia="Arial" w:hAnsi="Arial"/>
                <w:sz w:val="18"/>
                <w:szCs w:val="18"/>
                <w:color w:val="auto"/>
              </w:rPr>
              <w:t>2028</w:t>
            </w:r>
          </w:p>
        </w:tc>
        <w:tc>
          <w:tcPr>
            <w:tcW w:w="4660" w:type="dxa"/>
            <w:vAlign w:val="bottom"/>
          </w:tcPr>
          <w:p>
            <w:pPr>
              <w:jc w:val="right"/>
              <w:spacing w:after="0"/>
              <w:rPr>
                <w:sz w:val="20"/>
                <w:szCs w:val="20"/>
                <w:color w:val="auto"/>
              </w:rPr>
            </w:pPr>
            <w:r>
              <w:rPr>
                <w:rFonts w:ascii="Arial" w:cs="Arial" w:eastAsia="Arial" w:hAnsi="Arial"/>
                <w:sz w:val="18"/>
                <w:szCs w:val="18"/>
                <w:color w:val="auto"/>
              </w:rPr>
              <w:t>6,394</w:t>
            </w:r>
          </w:p>
        </w:tc>
      </w:tr>
      <w:tr>
        <w:trPr>
          <w:trHeight w:val="229"/>
        </w:trPr>
        <w:tc>
          <w:tcPr>
            <w:tcW w:w="6580" w:type="dxa"/>
            <w:vAlign w:val="bottom"/>
            <w:shd w:val="clear" w:color="auto" w:fill="CCEDFF"/>
          </w:tcPr>
          <w:p>
            <w:pPr>
              <w:ind w:left="20"/>
              <w:spacing w:after="0"/>
              <w:rPr>
                <w:sz w:val="20"/>
                <w:szCs w:val="20"/>
                <w:color w:val="auto"/>
              </w:rPr>
            </w:pPr>
            <w:r>
              <w:rPr>
                <w:rFonts w:ascii="Arial" w:cs="Arial" w:eastAsia="Arial" w:hAnsi="Arial"/>
                <w:sz w:val="18"/>
                <w:szCs w:val="18"/>
                <w:color w:val="auto"/>
              </w:rPr>
              <w:t>2029</w:t>
            </w:r>
          </w:p>
        </w:tc>
        <w:tc>
          <w:tcPr>
            <w:tcW w:w="4660" w:type="dxa"/>
            <w:vAlign w:val="bottom"/>
            <w:shd w:val="clear" w:color="auto" w:fill="CCEDFF"/>
          </w:tcPr>
          <w:p>
            <w:pPr>
              <w:jc w:val="right"/>
              <w:spacing w:after="0"/>
              <w:rPr>
                <w:sz w:val="20"/>
                <w:szCs w:val="20"/>
                <w:color w:val="auto"/>
              </w:rPr>
            </w:pPr>
            <w:r>
              <w:rPr>
                <w:rFonts w:ascii="Arial" w:cs="Arial" w:eastAsia="Arial" w:hAnsi="Arial"/>
                <w:sz w:val="18"/>
                <w:szCs w:val="18"/>
                <w:color w:val="auto"/>
              </w:rPr>
              <w:t>5,808</w:t>
            </w:r>
          </w:p>
        </w:tc>
      </w:tr>
      <w:tr>
        <w:trPr>
          <w:trHeight w:val="229"/>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4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4,715</w:t>
            </w:r>
          </w:p>
        </w:tc>
      </w:tr>
      <w:tr>
        <w:trPr>
          <w:trHeight w:val="223"/>
        </w:trPr>
        <w:tc>
          <w:tcPr>
            <w:tcW w:w="6580" w:type="dxa"/>
            <w:vAlign w:val="bottom"/>
            <w:shd w:val="clear" w:color="auto" w:fill="CCEDFF"/>
          </w:tcPr>
          <w:p>
            <w:pPr>
              <w:ind w:left="20"/>
              <w:spacing w:after="0"/>
              <w:rPr>
                <w:sz w:val="20"/>
                <w:szCs w:val="20"/>
                <w:color w:val="auto"/>
              </w:rPr>
            </w:pPr>
            <w:r>
              <w:rPr>
                <w:rFonts w:ascii="Arial" w:cs="Arial" w:eastAsia="Arial" w:hAnsi="Arial"/>
                <w:sz w:val="18"/>
                <w:szCs w:val="18"/>
                <w:color w:val="auto"/>
              </w:rPr>
              <w:t>Total lease payments</w:t>
            </w:r>
          </w:p>
        </w:tc>
        <w:tc>
          <w:tcPr>
            <w:tcW w:w="4660" w:type="dxa"/>
            <w:vAlign w:val="bottom"/>
            <w:shd w:val="clear" w:color="auto" w:fill="CCEDFF"/>
          </w:tcPr>
          <w:p>
            <w:pPr>
              <w:jc w:val="right"/>
              <w:spacing w:after="0"/>
              <w:rPr>
                <w:sz w:val="20"/>
                <w:szCs w:val="20"/>
                <w:color w:val="auto"/>
              </w:rPr>
            </w:pPr>
            <w:r>
              <w:rPr>
                <w:rFonts w:ascii="Arial" w:cs="Arial" w:eastAsia="Arial" w:hAnsi="Arial"/>
                <w:sz w:val="18"/>
                <w:szCs w:val="18"/>
                <w:color w:val="auto"/>
              </w:rPr>
              <w:t>46,877</w:t>
            </w:r>
          </w:p>
        </w:tc>
      </w:tr>
      <w:tr>
        <w:trPr>
          <w:trHeight w:val="229"/>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interest</w:t>
            </w:r>
          </w:p>
        </w:tc>
        <w:tc>
          <w:tcPr>
            <w:tcW w:w="4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(8,969)</w:t>
            </w:r>
          </w:p>
        </w:tc>
      </w:tr>
      <w:tr>
        <w:trPr>
          <w:trHeight w:val="248"/>
        </w:trPr>
        <w:tc>
          <w:tcPr>
            <w:tcW w:w="658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Present value of lease liabilities</w:t>
            </w:r>
          </w:p>
        </w:tc>
        <w:tc>
          <w:tcPr>
            <w:tcW w:w="466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37,908</w:t>
            </w:r>
          </w:p>
        </w:tc>
      </w:tr>
      <w:tr>
        <w:trPr>
          <w:trHeight w:val="20"/>
        </w:trPr>
        <w:tc>
          <w:tcPr>
            <w:tcW w:w="6580" w:type="dxa"/>
            <w:vAlign w:val="bottom"/>
            <w:tcBorders>
              <w:top w:val="single" w:sz="8" w:color="CCEDFF"/>
              <w:bottom w:val="single" w:sz="8" w:color="auto"/>
            </w:tcBorders>
          </w:tcPr>
          <w:p>
            <w:pPr>
              <w:spacing w:after="0" w:line="20" w:lineRule="exact"/>
              <w:rPr>
                <w:sz w:val="1"/>
                <w:szCs w:val="1"/>
                <w:color w:val="auto"/>
              </w:rPr>
            </w:pPr>
          </w:p>
        </w:tc>
        <w:tc>
          <w:tcPr>
            <w:tcW w:w="4660" w:type="dxa"/>
            <w:vAlign w:val="bottom"/>
            <w:tcBorders>
              <w:top w:val="single" w:sz="8" w:color="CCED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lease contracts are discounted using the incremental borrowing rate for the Company. We determined the incremental borrowing rate based on a senior secured collateral adjusted yield curve for the Company. This yield curve reflects the estimated rate that would have been paid by the Company to borrow on a collateralized basis over a similar term in a similar economic environment. The weighted average revolving lease terms and discount rates for all of our operating leases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660" w:type="dxa"/>
            <w:vAlign w:val="bottom"/>
            <w:tcBorders>
              <w:top w:val="single" w:sz="8" w:color="auto"/>
              <w:bottom w:val="single" w:sz="8" w:color="auto"/>
            </w:tcBorders>
          </w:tcPr>
          <w:p>
            <w:pPr>
              <w:spacing w:after="0"/>
              <w:rPr>
                <w:sz w:val="21"/>
                <w:szCs w:val="21"/>
                <w:color w:val="auto"/>
              </w:rPr>
            </w:pPr>
          </w:p>
        </w:tc>
        <w:tc>
          <w:tcPr>
            <w:tcW w:w="40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rPr>
              <w:t>2024</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w:t>
            </w:r>
          </w:p>
        </w:tc>
        <w:tc>
          <w:tcPr>
            <w:tcW w:w="40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4.8 years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years</w:t>
            </w:r>
          </w:p>
        </w:tc>
      </w:tr>
      <w:tr>
        <w:trPr>
          <w:trHeight w:val="230"/>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Weighted Average discount rate</w:t>
            </w:r>
          </w:p>
        </w:tc>
        <w:tc>
          <w:tcPr>
            <w:tcW w:w="40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7.91 %</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7.88 %</w:t>
            </w:r>
          </w:p>
        </w:tc>
      </w:tr>
    </w:tbl>
    <w:p>
      <w:pPr>
        <w:spacing w:after="0" w:line="251" w:lineRule="exact"/>
        <w:rPr>
          <w:sz w:val="20"/>
          <w:szCs w:val="20"/>
          <w:color w:val="auto"/>
        </w:rPr>
      </w:pPr>
    </w:p>
    <w:p>
      <w:pPr>
        <w:ind w:left="360" w:hanging="352"/>
        <w:spacing w:after="0"/>
        <w:tabs>
          <w:tab w:leader="none" w:pos="3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DEFINED BENEFIT PENSION PLAN</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2022, the Company made several changes to its defined benefit plans. At the beginning of 2022, the Company was the sponsor of seven single-employer defined benefit plans, two of which were frozen to new participants and future benefits. As of September 24, 2023, we are the sponsor of one single-employer defined benefit plan, which provide benefits to certain current and former employees of Lee.</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2022 we notified certain participants in our defined benefit plans of changes to be made to the plans. The Company froze future benefits and participation for an additional four of the defined benefit plans. The freeze of future benefits resulted in a non-cash curtailment gain of $1.0 million related to the four plans. In connection with the freeze the Company provided certain benefit enhancements that resulted in an increase to our net pension liability and a decrease to accumulated other comprehensive income of $6.1 million. Additionally, the Company merged the six frozen plans into one fully-funded defined benefit plan, the Lee Enterprises Incorporated Pension Plan ("Plan") effective in the second quarter of fiscal 2022.</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September of 2022, as part of a pension de-risking strategy for the Plan, the Company, executed an agreement pursuant to which it transferred to a third-party insurance company (the "Insurer") $ 85.6 million of the Plan's liabilities in exchange for $81.4 million of Plan assets and recorded a non-cash settlement gain of $4.2 million in Pension and OPEB related benefit (cost) and other, net. Collectively, the transactions are known as the "Annuity Purchase"</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September 29, 2024, the Company offered a voluntary lump sum payment of future benefits to terminated vested participants in the defined benefit pension plan. The offer was accepted by 522 participants, representing a $22.6 million settlement of related pension plan liability. The Company recognized a non-cash settlement gain of $2.4 million, which is reflected within "Curtailment/Settlement gains" on the Consolidated Statements of (Loss) Income and Comprehensive (Loss) Income. Pension plan assets and liabilities were reduced by $22.6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The net periodic (benefit) cost components of our pension plan is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29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2024</w:t>
            </w:r>
          </w:p>
        </w:tc>
        <w:tc>
          <w:tcPr>
            <w:tcW w:w="1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2023</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2022</w:t>
            </w:r>
          </w:p>
        </w:tc>
      </w:tr>
      <w:tr>
        <w:trPr>
          <w:trHeight w:val="250"/>
        </w:trPr>
        <w:tc>
          <w:tcPr>
            <w:tcW w:w="558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29"/>
        </w:trPr>
        <w:tc>
          <w:tcPr>
            <w:tcW w:w="5580" w:type="dxa"/>
            <w:vAlign w:val="bottom"/>
            <w:shd w:val="clear" w:color="auto" w:fill="CCEDFF"/>
          </w:tcPr>
          <w:p>
            <w:pPr>
              <w:ind w:left="20"/>
              <w:spacing w:after="0"/>
              <w:rPr>
                <w:sz w:val="20"/>
                <w:szCs w:val="20"/>
                <w:color w:val="auto"/>
              </w:rPr>
            </w:pPr>
            <w:r>
              <w:rPr>
                <w:rFonts w:ascii="Arial" w:cs="Arial" w:eastAsia="Arial" w:hAnsi="Arial"/>
                <w:sz w:val="18"/>
                <w:szCs w:val="18"/>
                <w:color w:val="auto"/>
              </w:rPr>
              <w:t>Service cost for benefits earned during the year</w:t>
            </w:r>
          </w:p>
        </w:tc>
        <w:tc>
          <w:tcPr>
            <w:tcW w:w="2920" w:type="dxa"/>
            <w:vAlign w:val="bottom"/>
            <w:shd w:val="clear" w:color="auto" w:fill="CCEDFF"/>
          </w:tcPr>
          <w:p>
            <w:pPr>
              <w:jc w:val="right"/>
              <w:ind w:right="470"/>
              <w:spacing w:after="0"/>
              <w:rPr>
                <w:sz w:val="20"/>
                <w:szCs w:val="20"/>
                <w:color w:val="auto"/>
              </w:rPr>
            </w:pPr>
            <w:r>
              <w:rPr>
                <w:rFonts w:ascii="Arial" w:cs="Arial" w:eastAsia="Arial" w:hAnsi="Arial"/>
                <w:sz w:val="18"/>
                <w:szCs w:val="18"/>
                <w:color w:val="auto"/>
              </w:rPr>
              <w:t>5</w:t>
            </w:r>
          </w:p>
        </w:tc>
        <w:tc>
          <w:tcPr>
            <w:tcW w:w="158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19</w:t>
            </w:r>
          </w:p>
        </w:tc>
        <w:tc>
          <w:tcPr>
            <w:tcW w:w="1160" w:type="dxa"/>
            <w:vAlign w:val="bottom"/>
            <w:shd w:val="clear" w:color="auto" w:fill="CCEDFF"/>
          </w:tcPr>
          <w:p>
            <w:pPr>
              <w:jc w:val="right"/>
              <w:spacing w:after="0"/>
              <w:rPr>
                <w:sz w:val="20"/>
                <w:szCs w:val="20"/>
                <w:color w:val="auto"/>
              </w:rPr>
            </w:pPr>
            <w:r>
              <w:rPr>
                <w:rFonts w:ascii="Arial" w:cs="Arial" w:eastAsia="Arial" w:hAnsi="Arial"/>
                <w:sz w:val="18"/>
                <w:szCs w:val="18"/>
                <w:color w:val="auto"/>
              </w:rPr>
              <w:t>488</w:t>
            </w: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Interest cost on projected benefit obligation</w:t>
            </w:r>
          </w:p>
        </w:tc>
        <w:tc>
          <w:tcPr>
            <w:tcW w:w="2920" w:type="dxa"/>
            <w:vAlign w:val="bottom"/>
          </w:tcPr>
          <w:p>
            <w:pPr>
              <w:jc w:val="right"/>
              <w:ind w:right="470"/>
              <w:spacing w:after="0"/>
              <w:rPr>
                <w:sz w:val="20"/>
                <w:szCs w:val="20"/>
                <w:color w:val="auto"/>
              </w:rPr>
            </w:pPr>
            <w:r>
              <w:rPr>
                <w:rFonts w:ascii="Arial" w:cs="Arial" w:eastAsia="Arial" w:hAnsi="Arial"/>
                <w:sz w:val="18"/>
                <w:szCs w:val="18"/>
                <w:color w:val="auto"/>
              </w:rPr>
              <w:t>9,274</w:t>
            </w:r>
          </w:p>
        </w:tc>
        <w:tc>
          <w:tcPr>
            <w:tcW w:w="1580" w:type="dxa"/>
            <w:vAlign w:val="bottom"/>
          </w:tcPr>
          <w:p>
            <w:pPr>
              <w:jc w:val="right"/>
              <w:ind w:right="410"/>
              <w:spacing w:after="0"/>
              <w:rPr>
                <w:sz w:val="20"/>
                <w:szCs w:val="20"/>
                <w:color w:val="auto"/>
              </w:rPr>
            </w:pPr>
            <w:r>
              <w:rPr>
                <w:rFonts w:ascii="Arial" w:cs="Arial" w:eastAsia="Arial" w:hAnsi="Arial"/>
                <w:sz w:val="18"/>
                <w:szCs w:val="18"/>
                <w:color w:val="auto"/>
              </w:rPr>
              <w:t>10,368</w:t>
            </w:r>
          </w:p>
        </w:tc>
        <w:tc>
          <w:tcPr>
            <w:tcW w:w="1160" w:type="dxa"/>
            <w:vAlign w:val="bottom"/>
          </w:tcPr>
          <w:p>
            <w:pPr>
              <w:jc w:val="right"/>
              <w:spacing w:after="0"/>
              <w:rPr>
                <w:sz w:val="20"/>
                <w:szCs w:val="20"/>
                <w:color w:val="auto"/>
              </w:rPr>
            </w:pPr>
            <w:r>
              <w:rPr>
                <w:rFonts w:ascii="Arial" w:cs="Arial" w:eastAsia="Arial" w:hAnsi="Arial"/>
                <w:sz w:val="18"/>
                <w:szCs w:val="18"/>
                <w:color w:val="auto"/>
              </w:rPr>
              <w:t>7,999</w:t>
            </w:r>
          </w:p>
        </w:tc>
      </w:tr>
      <w:tr>
        <w:trPr>
          <w:trHeight w:val="229"/>
        </w:trPr>
        <w:tc>
          <w:tcPr>
            <w:tcW w:w="5580" w:type="dxa"/>
            <w:vAlign w:val="bottom"/>
            <w:shd w:val="clear" w:color="auto" w:fill="CCEDFF"/>
          </w:tcPr>
          <w:p>
            <w:pPr>
              <w:ind w:left="20"/>
              <w:spacing w:after="0"/>
              <w:rPr>
                <w:sz w:val="20"/>
                <w:szCs w:val="20"/>
                <w:color w:val="auto"/>
              </w:rPr>
            </w:pPr>
            <w:r>
              <w:rPr>
                <w:rFonts w:ascii="Arial" w:cs="Arial" w:eastAsia="Arial" w:hAnsi="Arial"/>
                <w:sz w:val="18"/>
                <w:szCs w:val="18"/>
                <w:color w:val="auto"/>
              </w:rPr>
              <w:t>Expected return on plan assets</w:t>
            </w:r>
          </w:p>
        </w:tc>
        <w:tc>
          <w:tcPr>
            <w:tcW w:w="2920" w:type="dxa"/>
            <w:vAlign w:val="bottom"/>
            <w:shd w:val="clear" w:color="auto" w:fill="CCEDFF"/>
          </w:tcPr>
          <w:p>
            <w:pPr>
              <w:jc w:val="right"/>
              <w:ind w:right="470"/>
              <w:spacing w:after="0"/>
              <w:rPr>
                <w:sz w:val="20"/>
                <w:szCs w:val="20"/>
                <w:color w:val="auto"/>
              </w:rPr>
            </w:pPr>
            <w:r>
              <w:rPr>
                <w:rFonts w:ascii="Arial" w:cs="Arial" w:eastAsia="Arial" w:hAnsi="Arial"/>
                <w:sz w:val="18"/>
                <w:szCs w:val="18"/>
                <w:color w:val="auto"/>
              </w:rPr>
              <w:t>(9,382)</w:t>
            </w:r>
          </w:p>
        </w:tc>
        <w:tc>
          <w:tcPr>
            <w:tcW w:w="1580" w:type="dxa"/>
            <w:vAlign w:val="bottom"/>
            <w:shd w:val="clear" w:color="auto" w:fill="CCEDFF"/>
          </w:tcPr>
          <w:p>
            <w:pPr>
              <w:jc w:val="right"/>
              <w:ind w:right="370"/>
              <w:spacing w:after="0"/>
              <w:rPr>
                <w:sz w:val="20"/>
                <w:szCs w:val="20"/>
                <w:color w:val="auto"/>
              </w:rPr>
            </w:pPr>
            <w:r>
              <w:rPr>
                <w:rFonts w:ascii="Arial" w:cs="Arial" w:eastAsia="Arial" w:hAnsi="Arial"/>
                <w:sz w:val="18"/>
                <w:szCs w:val="18"/>
                <w:color w:val="auto"/>
              </w:rPr>
              <w:t>(10,192)</w:t>
            </w:r>
          </w:p>
        </w:tc>
        <w:tc>
          <w:tcPr>
            <w:tcW w:w="1160" w:type="dxa"/>
            <w:vAlign w:val="bottom"/>
            <w:shd w:val="clear" w:color="auto" w:fill="CCEDFF"/>
          </w:tcPr>
          <w:p>
            <w:pPr>
              <w:jc w:val="right"/>
              <w:spacing w:after="0"/>
              <w:rPr>
                <w:sz w:val="20"/>
                <w:szCs w:val="20"/>
                <w:color w:val="auto"/>
              </w:rPr>
            </w:pPr>
            <w:r>
              <w:rPr>
                <w:rFonts w:ascii="Arial" w:cs="Arial" w:eastAsia="Arial" w:hAnsi="Arial"/>
                <w:sz w:val="18"/>
                <w:szCs w:val="18"/>
                <w:color w:val="auto"/>
              </w:rPr>
              <w:t>(18,261)</w:t>
            </w: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Amortization of net (gain) loss</w:t>
            </w:r>
          </w:p>
        </w:tc>
        <w:tc>
          <w:tcPr>
            <w:tcW w:w="2920" w:type="dxa"/>
            <w:vAlign w:val="bottom"/>
          </w:tcPr>
          <w:p>
            <w:pPr>
              <w:jc w:val="right"/>
              <w:ind w:right="470"/>
              <w:spacing w:after="0"/>
              <w:rPr>
                <w:sz w:val="20"/>
                <w:szCs w:val="20"/>
                <w:color w:val="auto"/>
              </w:rPr>
            </w:pPr>
            <w:r>
              <w:rPr>
                <w:rFonts w:ascii="Arial" w:cs="Arial" w:eastAsia="Arial" w:hAnsi="Arial"/>
                <w:sz w:val="18"/>
                <w:szCs w:val="18"/>
                <w:color w:val="auto"/>
              </w:rPr>
              <w:t>(4)</w:t>
            </w:r>
          </w:p>
        </w:tc>
        <w:tc>
          <w:tcPr>
            <w:tcW w:w="1580" w:type="dxa"/>
            <w:vAlign w:val="bottom"/>
          </w:tcPr>
          <w:p>
            <w:pPr>
              <w:jc w:val="right"/>
              <w:ind w:right="410"/>
              <w:spacing w:after="0"/>
              <w:rPr>
                <w:sz w:val="20"/>
                <w:szCs w:val="20"/>
                <w:color w:val="auto"/>
              </w:rPr>
            </w:pPr>
            <w:r>
              <w:rPr>
                <w:rFonts w:ascii="Arial" w:cs="Arial" w:eastAsia="Arial" w:hAnsi="Arial"/>
                <w:sz w:val="18"/>
                <w:szCs w:val="18"/>
                <w:color w:val="auto"/>
              </w:rPr>
              <w:t>10</w:t>
            </w:r>
          </w:p>
        </w:tc>
        <w:tc>
          <w:tcPr>
            <w:tcW w:w="1160" w:type="dxa"/>
            <w:vAlign w:val="bottom"/>
          </w:tcPr>
          <w:p>
            <w:pPr>
              <w:jc w:val="right"/>
              <w:spacing w:after="0"/>
              <w:rPr>
                <w:sz w:val="20"/>
                <w:szCs w:val="20"/>
                <w:color w:val="auto"/>
              </w:rPr>
            </w:pPr>
            <w:r>
              <w:rPr>
                <w:rFonts w:ascii="Arial" w:cs="Arial" w:eastAsia="Arial" w:hAnsi="Arial"/>
                <w:sz w:val="18"/>
                <w:szCs w:val="18"/>
                <w:color w:val="auto"/>
              </w:rPr>
              <w:t>(3,317)</w:t>
            </w:r>
          </w:p>
        </w:tc>
      </w:tr>
      <w:tr>
        <w:trPr>
          <w:trHeight w:val="229"/>
        </w:trPr>
        <w:tc>
          <w:tcPr>
            <w:tcW w:w="5580" w:type="dxa"/>
            <w:vAlign w:val="bottom"/>
            <w:shd w:val="clear" w:color="auto" w:fill="CCEDFF"/>
          </w:tcPr>
          <w:p>
            <w:pPr>
              <w:ind w:left="20"/>
              <w:spacing w:after="0"/>
              <w:rPr>
                <w:sz w:val="20"/>
                <w:szCs w:val="20"/>
                <w:color w:val="auto"/>
              </w:rPr>
            </w:pPr>
            <w:r>
              <w:rPr>
                <w:rFonts w:ascii="Arial" w:cs="Arial" w:eastAsia="Arial" w:hAnsi="Arial"/>
                <w:sz w:val="18"/>
                <w:szCs w:val="18"/>
                <w:color w:val="auto"/>
              </w:rPr>
              <w:t>Amortization of prior service benefit</w:t>
            </w:r>
          </w:p>
        </w:tc>
        <w:tc>
          <w:tcPr>
            <w:tcW w:w="2920" w:type="dxa"/>
            <w:vAlign w:val="bottom"/>
            <w:shd w:val="clear" w:color="auto" w:fill="CCEDFF"/>
          </w:tcPr>
          <w:p>
            <w:pPr>
              <w:jc w:val="right"/>
              <w:ind w:right="470"/>
              <w:spacing w:after="0"/>
              <w:rPr>
                <w:sz w:val="20"/>
                <w:szCs w:val="20"/>
                <w:color w:val="auto"/>
              </w:rPr>
            </w:pPr>
            <w:r>
              <w:rPr>
                <w:rFonts w:ascii="Arial" w:cs="Arial" w:eastAsia="Arial" w:hAnsi="Arial"/>
                <w:sz w:val="18"/>
                <w:szCs w:val="18"/>
                <w:color w:val="auto"/>
              </w:rPr>
              <w:t>848</w:t>
            </w:r>
          </w:p>
        </w:tc>
        <w:tc>
          <w:tcPr>
            <w:tcW w:w="158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852</w:t>
            </w:r>
          </w:p>
        </w:tc>
        <w:tc>
          <w:tcPr>
            <w:tcW w:w="1160" w:type="dxa"/>
            <w:vAlign w:val="bottom"/>
            <w:shd w:val="clear" w:color="auto" w:fill="CCEDFF"/>
          </w:tcPr>
          <w:p>
            <w:pPr>
              <w:jc w:val="right"/>
              <w:spacing w:after="0"/>
              <w:rPr>
                <w:sz w:val="20"/>
                <w:szCs w:val="20"/>
                <w:color w:val="auto"/>
              </w:rPr>
            </w:pPr>
            <w:r>
              <w:rPr>
                <w:rFonts w:ascii="Arial" w:cs="Arial" w:eastAsia="Arial" w:hAnsi="Arial"/>
                <w:sz w:val="18"/>
                <w:szCs w:val="18"/>
                <w:color w:val="auto"/>
              </w:rPr>
              <w:t>641</w:t>
            </w: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Settlement gain</w:t>
            </w:r>
          </w:p>
        </w:tc>
        <w:tc>
          <w:tcPr>
            <w:tcW w:w="2920" w:type="dxa"/>
            <w:vAlign w:val="bottom"/>
          </w:tcPr>
          <w:p>
            <w:pPr>
              <w:jc w:val="right"/>
              <w:ind w:right="470"/>
              <w:spacing w:after="0"/>
              <w:rPr>
                <w:sz w:val="20"/>
                <w:szCs w:val="20"/>
                <w:color w:val="auto"/>
              </w:rPr>
            </w:pPr>
            <w:r>
              <w:rPr>
                <w:rFonts w:ascii="Arial" w:cs="Arial" w:eastAsia="Arial" w:hAnsi="Arial"/>
                <w:sz w:val="18"/>
                <w:szCs w:val="18"/>
                <w:color w:val="auto"/>
              </w:rPr>
              <w:t>(2,409)</w:t>
            </w:r>
          </w:p>
        </w:tc>
        <w:tc>
          <w:tcPr>
            <w:tcW w:w="15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(4,245)</w:t>
            </w:r>
          </w:p>
        </w:tc>
      </w:tr>
      <w:tr>
        <w:trPr>
          <w:trHeight w:val="230"/>
        </w:trPr>
        <w:tc>
          <w:tcPr>
            <w:tcW w:w="558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Curtailment gain</w:t>
            </w:r>
          </w:p>
        </w:tc>
        <w:tc>
          <w:tcPr>
            <w:tcW w:w="2920" w:type="dxa"/>
            <w:vAlign w:val="bottom"/>
            <w:tcBorders>
              <w:bottom w:val="single" w:sz="8" w:color="auto"/>
            </w:tcBorders>
            <w:shd w:val="clear" w:color="auto" w:fill="CCEDFF"/>
          </w:tcPr>
          <w:p>
            <w:pPr>
              <w:jc w:val="right"/>
              <w:ind w:right="47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DFF"/>
          </w:tcPr>
          <w:p>
            <w:pPr>
              <w:jc w:val="right"/>
              <w:ind w:right="4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(1,027)</w:t>
            </w:r>
          </w:p>
        </w:tc>
      </w:tr>
      <w:tr>
        <w:trPr>
          <w:trHeight w:val="223"/>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periodic pension cost (benefit)</w:t>
            </w:r>
          </w:p>
        </w:tc>
        <w:tc>
          <w:tcPr>
            <w:tcW w:w="2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(1,668)</w:t>
            </w:r>
          </w:p>
        </w:tc>
        <w:tc>
          <w:tcPr>
            <w:tcW w:w="15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1,057</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(17,722)</w:t>
            </w:r>
          </w:p>
        </w:tc>
      </w:tr>
      <w:tr>
        <w:trPr>
          <w:trHeight w:val="21"/>
        </w:trPr>
        <w:tc>
          <w:tcPr>
            <w:tcW w:w="558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Changes in projected benefit obligations (which approximates the accumulated benefit obligation at each period end) and plan assets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2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2024</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250"/>
        </w:trPr>
        <w:tc>
          <w:tcPr>
            <w:tcW w:w="76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obligation, beginning of year</w:t>
            </w:r>
          </w:p>
        </w:tc>
        <w:tc>
          <w:tcPr>
            <w:tcW w:w="2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199,187</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210,806</w:t>
            </w: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2240" w:type="dxa"/>
            <w:vAlign w:val="bottom"/>
          </w:tcPr>
          <w:p>
            <w:pPr>
              <w:jc w:val="right"/>
              <w:ind w:right="190"/>
              <w:spacing w:after="0"/>
              <w:rPr>
                <w:sz w:val="20"/>
                <w:szCs w:val="20"/>
                <w:color w:val="auto"/>
              </w:rPr>
            </w:pPr>
            <w:r>
              <w:rPr>
                <w:rFonts w:ascii="Arial" w:cs="Arial" w:eastAsia="Arial" w:hAnsi="Arial"/>
                <w:sz w:val="18"/>
                <w:szCs w:val="18"/>
                <w:color w:val="auto"/>
              </w:rPr>
              <w:t>5</w:t>
            </w:r>
          </w:p>
        </w:tc>
        <w:tc>
          <w:tcPr>
            <w:tcW w:w="13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2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9,274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10,368</w:t>
            </w: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color w:val="auto"/>
              </w:rPr>
              <w:t>Actuarial loss (gain)</w:t>
            </w:r>
          </w:p>
        </w:tc>
        <w:tc>
          <w:tcPr>
            <w:tcW w:w="2240" w:type="dxa"/>
            <w:vAlign w:val="bottom"/>
          </w:tcPr>
          <w:p>
            <w:pPr>
              <w:jc w:val="right"/>
              <w:ind w:right="190"/>
              <w:spacing w:after="0"/>
              <w:rPr>
                <w:sz w:val="20"/>
                <w:szCs w:val="20"/>
                <w:color w:val="auto"/>
              </w:rPr>
            </w:pPr>
            <w:r>
              <w:rPr>
                <w:rFonts w:ascii="Arial" w:cs="Arial" w:eastAsia="Arial" w:hAnsi="Arial"/>
                <w:sz w:val="18"/>
                <w:szCs w:val="18"/>
                <w:color w:val="auto"/>
              </w:rPr>
              <w:t>15,703</w:t>
            </w:r>
          </w:p>
        </w:tc>
        <w:tc>
          <w:tcPr>
            <w:tcW w:w="1380" w:type="dxa"/>
            <w:vAlign w:val="bottom"/>
          </w:tcPr>
          <w:p>
            <w:pPr>
              <w:jc w:val="right"/>
              <w:spacing w:after="0"/>
              <w:rPr>
                <w:sz w:val="20"/>
                <w:szCs w:val="20"/>
                <w:color w:val="auto"/>
              </w:rPr>
            </w:pPr>
            <w:r>
              <w:rPr>
                <w:rFonts w:ascii="Arial" w:cs="Arial" w:eastAsia="Arial" w:hAnsi="Arial"/>
                <w:sz w:val="18"/>
                <w:szCs w:val="18"/>
                <w:color w:val="auto"/>
              </w:rPr>
              <w:t>(9,876)</w:t>
            </w:r>
          </w:p>
        </w:tc>
      </w:tr>
      <w:tr>
        <w:trPr>
          <w:trHeight w:val="230"/>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Benefits paid</w:t>
            </w:r>
          </w:p>
        </w:tc>
        <w:tc>
          <w:tcPr>
            <w:tcW w:w="2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(13,021)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(12,130)</w:t>
            </w:r>
          </w:p>
        </w:tc>
      </w:tr>
      <w:tr>
        <w:trPr>
          <w:trHeight w:val="229"/>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Settlements</w:t>
            </w:r>
          </w:p>
        </w:tc>
        <w:tc>
          <w:tcPr>
            <w:tcW w:w="2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(22,620)</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Benefit obligation, end of year</w:t>
            </w:r>
          </w:p>
        </w:tc>
        <w:tc>
          <w:tcPr>
            <w:tcW w:w="22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188,528</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199,187</w:t>
            </w:r>
          </w:p>
        </w:tc>
      </w:tr>
      <w:tr>
        <w:trPr>
          <w:trHeight w:val="223"/>
        </w:trPr>
        <w:tc>
          <w:tcPr>
            <w:tcW w:w="7620" w:type="dxa"/>
            <w:vAlign w:val="bottom"/>
          </w:tcPr>
          <w:p>
            <w:pPr>
              <w:ind w:left="20"/>
              <w:spacing w:after="0"/>
              <w:rPr>
                <w:sz w:val="20"/>
                <w:szCs w:val="20"/>
                <w:color w:val="auto"/>
              </w:rPr>
            </w:pPr>
            <w:r>
              <w:rPr>
                <w:rFonts w:ascii="Arial" w:cs="Arial" w:eastAsia="Arial" w:hAnsi="Arial"/>
                <w:sz w:val="18"/>
                <w:szCs w:val="18"/>
                <w:color w:val="auto"/>
              </w:rPr>
              <w:t>Fair value of plan assets, beginning of year:</w:t>
            </w:r>
          </w:p>
        </w:tc>
        <w:tc>
          <w:tcPr>
            <w:tcW w:w="2240" w:type="dxa"/>
            <w:vAlign w:val="bottom"/>
          </w:tcPr>
          <w:p>
            <w:pPr>
              <w:jc w:val="right"/>
              <w:ind w:right="190"/>
              <w:spacing w:after="0"/>
              <w:rPr>
                <w:sz w:val="20"/>
                <w:szCs w:val="20"/>
                <w:color w:val="auto"/>
              </w:rPr>
            </w:pPr>
            <w:r>
              <w:rPr>
                <w:rFonts w:ascii="Arial" w:cs="Arial" w:eastAsia="Arial" w:hAnsi="Arial"/>
                <w:sz w:val="18"/>
                <w:szCs w:val="18"/>
                <w:color w:val="auto"/>
              </w:rPr>
              <w:t>210,031</w:t>
            </w:r>
          </w:p>
        </w:tc>
        <w:tc>
          <w:tcPr>
            <w:tcW w:w="1380" w:type="dxa"/>
            <w:vAlign w:val="bottom"/>
          </w:tcPr>
          <w:p>
            <w:pPr>
              <w:jc w:val="right"/>
              <w:spacing w:after="0"/>
              <w:rPr>
                <w:sz w:val="20"/>
                <w:szCs w:val="20"/>
                <w:color w:val="auto"/>
              </w:rPr>
            </w:pPr>
            <w:r>
              <w:rPr>
                <w:rFonts w:ascii="Arial" w:cs="Arial" w:eastAsia="Arial" w:hAnsi="Arial"/>
                <w:sz w:val="18"/>
                <w:szCs w:val="18"/>
                <w:color w:val="auto"/>
              </w:rPr>
              <w:t>211,058</w:t>
            </w: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Actual return on plan assets</w:t>
            </w:r>
          </w:p>
        </w:tc>
        <w:tc>
          <w:tcPr>
            <w:tcW w:w="2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19,957</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12,638</w:t>
            </w: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Benefits paid</w:t>
            </w:r>
          </w:p>
        </w:tc>
        <w:tc>
          <w:tcPr>
            <w:tcW w:w="2240" w:type="dxa"/>
            <w:vAlign w:val="bottom"/>
          </w:tcPr>
          <w:p>
            <w:pPr>
              <w:jc w:val="right"/>
              <w:ind w:right="130"/>
              <w:spacing w:after="0"/>
              <w:rPr>
                <w:sz w:val="20"/>
                <w:szCs w:val="20"/>
                <w:color w:val="auto"/>
              </w:rPr>
            </w:pPr>
            <w:r>
              <w:rPr>
                <w:rFonts w:ascii="Arial" w:cs="Arial" w:eastAsia="Arial" w:hAnsi="Arial"/>
                <w:sz w:val="18"/>
                <w:szCs w:val="18"/>
                <w:color w:val="auto"/>
              </w:rPr>
              <w:t>(13,021)</w:t>
            </w:r>
          </w:p>
        </w:tc>
        <w:tc>
          <w:tcPr>
            <w:tcW w:w="1380" w:type="dxa"/>
            <w:vAlign w:val="bottom"/>
          </w:tcPr>
          <w:p>
            <w:pPr>
              <w:jc w:val="right"/>
              <w:spacing w:after="0"/>
              <w:rPr>
                <w:sz w:val="20"/>
                <w:szCs w:val="20"/>
                <w:color w:val="auto"/>
              </w:rPr>
            </w:pPr>
            <w:r>
              <w:rPr>
                <w:rFonts w:ascii="Arial" w:cs="Arial" w:eastAsia="Arial" w:hAnsi="Arial"/>
                <w:sz w:val="18"/>
                <w:szCs w:val="18"/>
                <w:color w:val="auto"/>
              </w:rPr>
              <w:t>(12,130)</w:t>
            </w:r>
          </w:p>
        </w:tc>
      </w:tr>
      <w:tr>
        <w:trPr>
          <w:trHeight w:val="230"/>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Administrative expenses paid</w:t>
            </w:r>
          </w:p>
        </w:tc>
        <w:tc>
          <w:tcPr>
            <w:tcW w:w="2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(1,155)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r>
      <w:tr>
        <w:trPr>
          <w:trHeight w:val="230"/>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Settlements</w:t>
            </w:r>
          </w:p>
        </w:tc>
        <w:tc>
          <w:tcPr>
            <w:tcW w:w="2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(22,620)</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Fair value of plan assets, end of year</w:t>
            </w:r>
          </w:p>
        </w:tc>
        <w:tc>
          <w:tcPr>
            <w:tcW w:w="22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193,192</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210,031</w:t>
            </w:r>
          </w:p>
        </w:tc>
      </w:tr>
      <w:tr>
        <w:trPr>
          <w:trHeight w:val="223"/>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Funded status</w:t>
            </w:r>
          </w:p>
        </w:tc>
        <w:tc>
          <w:tcPr>
            <w:tcW w:w="2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4,664</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10,844</w:t>
            </w:r>
          </w:p>
        </w:tc>
      </w:tr>
      <w:tr>
        <w:trPr>
          <w:trHeight w:val="20"/>
        </w:trPr>
        <w:tc>
          <w:tcPr>
            <w:tcW w:w="76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483"/>
        </w:trPr>
        <w:tc>
          <w:tcPr>
            <w:tcW w:w="7620" w:type="dxa"/>
            <w:vAlign w:val="bottom"/>
          </w:tcPr>
          <w:p>
            <w:pPr>
              <w:spacing w:after="0"/>
              <w:rPr>
                <w:sz w:val="20"/>
                <w:szCs w:val="20"/>
                <w:color w:val="auto"/>
              </w:rPr>
            </w:pPr>
            <w:r>
              <w:rPr>
                <w:rFonts w:ascii="Arial" w:cs="Arial" w:eastAsia="Arial" w:hAnsi="Arial"/>
                <w:sz w:val="18"/>
                <w:szCs w:val="18"/>
                <w:color w:val="auto"/>
              </w:rPr>
              <w:t>Disaggregated amounts recognized in the Consolidated Balance Sheets are as follows:</w:t>
            </w:r>
          </w:p>
        </w:tc>
        <w:tc>
          <w:tcPr>
            <w:tcW w:w="22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99"/>
        </w:trPr>
        <w:tc>
          <w:tcPr>
            <w:tcW w:w="76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r>
      <w:tr>
        <w:trPr>
          <w:trHeight w:val="177"/>
        </w:trPr>
        <w:tc>
          <w:tcPr>
            <w:tcW w:w="7620" w:type="dxa"/>
            <w:vAlign w:val="bottom"/>
          </w:tcPr>
          <w:p>
            <w:pPr>
              <w:spacing w:after="0"/>
              <w:rPr>
                <w:sz w:val="15"/>
                <w:szCs w:val="15"/>
                <w:color w:val="auto"/>
              </w:rPr>
            </w:pPr>
          </w:p>
        </w:tc>
        <w:tc>
          <w:tcPr>
            <w:tcW w:w="2240" w:type="dxa"/>
            <w:vAlign w:val="bottom"/>
          </w:tcPr>
          <w:p>
            <w:pPr>
              <w:jc w:val="right"/>
              <w:ind w:right="350"/>
              <w:spacing w:after="0" w:line="177" w:lineRule="exact"/>
              <w:rPr>
                <w:sz w:val="20"/>
                <w:szCs w:val="20"/>
                <w:color w:val="auto"/>
              </w:rPr>
            </w:pPr>
            <w:r>
              <w:rPr>
                <w:rFonts w:ascii="Arial" w:cs="Arial" w:eastAsia="Arial" w:hAnsi="Arial"/>
                <w:sz w:val="18"/>
                <w:szCs w:val="18"/>
                <w:color w:val="auto"/>
              </w:rPr>
              <w:t>September 29</w:t>
            </w:r>
          </w:p>
        </w:tc>
        <w:tc>
          <w:tcPr>
            <w:tcW w:w="1380" w:type="dxa"/>
            <w:vAlign w:val="bottom"/>
          </w:tcPr>
          <w:p>
            <w:pPr>
              <w:jc w:val="right"/>
              <w:spacing w:after="0" w:line="177" w:lineRule="exact"/>
              <w:rPr>
                <w:sz w:val="20"/>
                <w:szCs w:val="20"/>
                <w:color w:val="auto"/>
              </w:rPr>
            </w:pPr>
            <w:r>
              <w:rPr>
                <w:rFonts w:ascii="Arial" w:cs="Arial" w:eastAsia="Arial" w:hAnsi="Arial"/>
                <w:sz w:val="18"/>
                <w:szCs w:val="18"/>
                <w:color w:val="auto"/>
              </w:rPr>
              <w:t>September 24</w:t>
            </w:r>
          </w:p>
        </w:tc>
      </w:tr>
      <w:tr>
        <w:trPr>
          <w:trHeight w:val="235"/>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2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2024</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250"/>
        </w:trPr>
        <w:tc>
          <w:tcPr>
            <w:tcW w:w="76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29"/>
        </w:trPr>
        <w:tc>
          <w:tcPr>
            <w:tcW w:w="7620" w:type="dxa"/>
            <w:vAlign w:val="bottom"/>
            <w:shd w:val="clear" w:color="auto" w:fill="CCEDFF"/>
          </w:tcPr>
          <w:p>
            <w:pPr>
              <w:ind w:left="20"/>
              <w:spacing w:after="0"/>
              <w:rPr>
                <w:sz w:val="20"/>
                <w:szCs w:val="20"/>
                <w:color w:val="auto"/>
              </w:rPr>
            </w:pPr>
            <w:r>
              <w:rPr>
                <w:rFonts w:ascii="Arial" w:cs="Arial" w:eastAsia="Arial" w:hAnsi="Arial"/>
                <w:sz w:val="18"/>
                <w:szCs w:val="18"/>
                <w:color w:val="auto"/>
              </w:rPr>
              <w:t>Net pension assets</w:t>
            </w:r>
          </w:p>
        </w:tc>
        <w:tc>
          <w:tcPr>
            <w:tcW w:w="224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4,664</w:t>
            </w:r>
          </w:p>
        </w:tc>
        <w:tc>
          <w:tcPr>
            <w:tcW w:w="13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10,844</w:t>
            </w:r>
          </w:p>
        </w:tc>
      </w:tr>
      <w:tr>
        <w:trPr>
          <w:trHeight w:val="230"/>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Accumulated other comprehensive income (before income taxes)</w:t>
            </w:r>
          </w:p>
        </w:tc>
        <w:tc>
          <w:tcPr>
            <w:tcW w:w="2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8,804</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16,653</w:t>
            </w:r>
          </w:p>
        </w:tc>
      </w:tr>
      <w:tr>
        <w:trPr>
          <w:trHeight w:val="20"/>
        </w:trPr>
        <w:tc>
          <w:tcPr>
            <w:tcW w:w="76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483"/>
        </w:trPr>
        <w:tc>
          <w:tcPr>
            <w:tcW w:w="7620" w:type="dxa"/>
            <w:vAlign w:val="bottom"/>
          </w:tcPr>
          <w:p>
            <w:pPr>
              <w:spacing w:after="0"/>
              <w:rPr>
                <w:sz w:val="20"/>
                <w:szCs w:val="20"/>
                <w:color w:val="auto"/>
              </w:rPr>
            </w:pPr>
            <w:r>
              <w:rPr>
                <w:rFonts w:ascii="Arial" w:cs="Arial" w:eastAsia="Arial" w:hAnsi="Arial"/>
                <w:sz w:val="18"/>
                <w:szCs w:val="18"/>
                <w:color w:val="auto"/>
              </w:rPr>
              <w:t>Amounts recognized in accumulated other comprehensive income (loss) are as follows:</w:t>
            </w:r>
          </w:p>
        </w:tc>
        <w:tc>
          <w:tcPr>
            <w:tcW w:w="22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12"/>
        </w:trPr>
        <w:tc>
          <w:tcPr>
            <w:tcW w:w="76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r>
      <w:tr>
        <w:trPr>
          <w:trHeight w:val="169"/>
        </w:trPr>
        <w:tc>
          <w:tcPr>
            <w:tcW w:w="7620" w:type="dxa"/>
            <w:vAlign w:val="bottom"/>
          </w:tcPr>
          <w:p>
            <w:pPr>
              <w:spacing w:after="0"/>
              <w:rPr>
                <w:sz w:val="14"/>
                <w:szCs w:val="14"/>
                <w:color w:val="auto"/>
              </w:rPr>
            </w:pPr>
          </w:p>
        </w:tc>
        <w:tc>
          <w:tcPr>
            <w:tcW w:w="2240" w:type="dxa"/>
            <w:vAlign w:val="bottom"/>
          </w:tcPr>
          <w:p>
            <w:pPr>
              <w:jc w:val="right"/>
              <w:ind w:right="350"/>
              <w:spacing w:after="0" w:line="169" w:lineRule="exact"/>
              <w:rPr>
                <w:sz w:val="20"/>
                <w:szCs w:val="20"/>
                <w:color w:val="auto"/>
              </w:rPr>
            </w:pPr>
            <w:r>
              <w:rPr>
                <w:rFonts w:ascii="Arial" w:cs="Arial" w:eastAsia="Arial" w:hAnsi="Arial"/>
                <w:sz w:val="18"/>
                <w:szCs w:val="18"/>
                <w:color w:val="auto"/>
              </w:rPr>
              <w:t>September 29</w:t>
            </w:r>
          </w:p>
        </w:tc>
        <w:tc>
          <w:tcPr>
            <w:tcW w:w="1380" w:type="dxa"/>
            <w:vAlign w:val="bottom"/>
          </w:tcPr>
          <w:p>
            <w:pPr>
              <w:jc w:val="right"/>
              <w:spacing w:after="0" w:line="169" w:lineRule="exact"/>
              <w:rPr>
                <w:sz w:val="20"/>
                <w:szCs w:val="20"/>
                <w:color w:val="auto"/>
              </w:rPr>
            </w:pPr>
            <w:r>
              <w:rPr>
                <w:rFonts w:ascii="Arial" w:cs="Arial" w:eastAsia="Arial" w:hAnsi="Arial"/>
                <w:sz w:val="18"/>
                <w:szCs w:val="18"/>
                <w:color w:val="auto"/>
              </w:rPr>
              <w:t>September 24</w:t>
            </w:r>
          </w:p>
        </w:tc>
      </w:tr>
      <w:tr>
        <w:trPr>
          <w:trHeight w:val="242"/>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2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2024</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251"/>
        </w:trPr>
        <w:tc>
          <w:tcPr>
            <w:tcW w:w="76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29"/>
        </w:trPr>
        <w:tc>
          <w:tcPr>
            <w:tcW w:w="7620" w:type="dxa"/>
            <w:vAlign w:val="bottom"/>
            <w:shd w:val="clear" w:color="auto" w:fill="CCEDFF"/>
          </w:tcPr>
          <w:p>
            <w:pPr>
              <w:ind w:left="20"/>
              <w:spacing w:after="0"/>
              <w:rPr>
                <w:sz w:val="20"/>
                <w:szCs w:val="20"/>
                <w:color w:val="auto"/>
              </w:rPr>
            </w:pPr>
            <w:r>
              <w:rPr>
                <w:rFonts w:ascii="Arial" w:cs="Arial" w:eastAsia="Arial" w:hAnsi="Arial"/>
                <w:sz w:val="18"/>
                <w:szCs w:val="18"/>
                <w:color w:val="auto"/>
              </w:rPr>
              <w:t>Unrecognized net actuarial gain</w:t>
            </w:r>
          </w:p>
        </w:tc>
        <w:tc>
          <w:tcPr>
            <w:tcW w:w="224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12,550</w:t>
            </w:r>
          </w:p>
        </w:tc>
        <w:tc>
          <w:tcPr>
            <w:tcW w:w="13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21,246</w:t>
            </w:r>
          </w:p>
        </w:tc>
      </w:tr>
      <w:tr>
        <w:trPr>
          <w:trHeight w:val="230"/>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Unrecognized prior service cost</w:t>
            </w:r>
          </w:p>
        </w:tc>
        <w:tc>
          <w:tcPr>
            <w:tcW w:w="2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(3,746)</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(4,593)</w:t>
            </w:r>
          </w:p>
        </w:tc>
      </w:tr>
      <w:tr>
        <w:trPr>
          <w:trHeight w:val="248"/>
        </w:trPr>
        <w:tc>
          <w:tcPr>
            <w:tcW w:w="7620" w:type="dxa"/>
            <w:vAlign w:val="bottom"/>
            <w:tcBorders>
              <w:bottom w:val="single" w:sz="8" w:color="auto"/>
            </w:tcBorders>
            <w:shd w:val="clear" w:color="auto" w:fill="CCEDFF"/>
          </w:tcPr>
          <w:p>
            <w:pPr>
              <w:spacing w:after="0"/>
              <w:rPr>
                <w:sz w:val="21"/>
                <w:szCs w:val="21"/>
                <w:color w:val="auto"/>
              </w:rPr>
            </w:pPr>
          </w:p>
        </w:tc>
        <w:tc>
          <w:tcPr>
            <w:tcW w:w="2240" w:type="dxa"/>
            <w:vAlign w:val="bottom"/>
            <w:tcBorders>
              <w:bottom w:val="single" w:sz="8" w:color="auto"/>
            </w:tcBorders>
            <w:shd w:val="clear" w:color="auto" w:fill="CCEDFF"/>
          </w:tcPr>
          <w:p>
            <w:pPr>
              <w:jc w:val="right"/>
              <w:ind w:right="410"/>
              <w:spacing w:after="0"/>
              <w:rPr>
                <w:sz w:val="20"/>
                <w:szCs w:val="20"/>
                <w:color w:val="auto"/>
              </w:rPr>
            </w:pPr>
            <w:r>
              <w:rPr>
                <w:rFonts w:ascii="Arial" w:cs="Arial" w:eastAsia="Arial" w:hAnsi="Arial"/>
                <w:sz w:val="18"/>
                <w:szCs w:val="18"/>
                <w:color w:val="auto"/>
              </w:rPr>
              <w:t>8,804</w:t>
            </w:r>
          </w:p>
        </w:tc>
        <w:tc>
          <w:tcPr>
            <w:tcW w:w="13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16,653</w:t>
            </w:r>
          </w:p>
        </w:tc>
      </w:tr>
      <w:tr>
        <w:trPr>
          <w:trHeight w:val="20"/>
        </w:trPr>
        <w:tc>
          <w:tcPr>
            <w:tcW w:w="7620" w:type="dxa"/>
            <w:vAlign w:val="bottom"/>
            <w:tcBorders>
              <w:top w:val="single" w:sz="8" w:color="CCEDFF"/>
              <w:bottom w:val="single" w:sz="8" w:color="auto"/>
            </w:tcBorders>
          </w:tcPr>
          <w:p>
            <w:pPr>
              <w:spacing w:after="0" w:line="20" w:lineRule="exact"/>
              <w:rPr>
                <w:sz w:val="1"/>
                <w:szCs w:val="1"/>
                <w:color w:val="auto"/>
              </w:rPr>
            </w:pPr>
          </w:p>
        </w:tc>
        <w:tc>
          <w:tcPr>
            <w:tcW w:w="2240" w:type="dxa"/>
            <w:vAlign w:val="bottom"/>
            <w:tcBorders>
              <w:top w:val="single" w:sz="8" w:color="CCEDFF"/>
              <w:bottom w:val="single" w:sz="8" w:color="auto"/>
            </w:tcBorders>
          </w:tcPr>
          <w:p>
            <w:pPr>
              <w:spacing w:after="0" w:line="20" w:lineRule="exact"/>
              <w:rPr>
                <w:sz w:val="1"/>
                <w:szCs w:val="1"/>
                <w:color w:val="auto"/>
              </w:rPr>
            </w:pPr>
          </w:p>
        </w:tc>
        <w:tc>
          <w:tcPr>
            <w:tcW w:w="1380" w:type="dxa"/>
            <w:vAlign w:val="bottom"/>
            <w:tcBorders>
              <w:top w:val="single" w:sz="8" w:color="CCED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We expect to recognize $0.8 million of unrecognized prior service cost in net periodic pension costs in 2025.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Assumptions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assumptions used to determine benefit obligations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ind w:left="120"/>
              <w:spacing w:after="0" w:line="197" w:lineRule="exact"/>
              <w:rPr>
                <w:sz w:val="20"/>
                <w:szCs w:val="20"/>
                <w:color w:val="auto"/>
              </w:rPr>
            </w:pPr>
            <w:r>
              <w:rPr>
                <w:rFonts w:ascii="Arial" w:cs="Arial" w:eastAsia="Arial" w:hAnsi="Arial"/>
                <w:sz w:val="18"/>
                <w:szCs w:val="18"/>
                <w:color w:val="auto"/>
              </w:rPr>
              <w:t>September 29</w:t>
            </w:r>
          </w:p>
        </w:tc>
        <w:tc>
          <w:tcPr>
            <w:tcW w:w="1380" w:type="dxa"/>
            <w:vAlign w:val="bottom"/>
            <w:tcBorders>
              <w:top w:val="single" w:sz="8" w:color="auto"/>
            </w:tcBorders>
          </w:tcPr>
          <w:p>
            <w:pPr>
              <w:ind w:left="240"/>
              <w:spacing w:after="0" w:line="197" w:lineRule="exact"/>
              <w:rPr>
                <w:sz w:val="20"/>
                <w:szCs w:val="20"/>
                <w:color w:val="auto"/>
              </w:rPr>
            </w:pPr>
            <w:r>
              <w:rPr>
                <w:rFonts w:ascii="Arial" w:cs="Arial" w:eastAsia="Arial" w:hAnsi="Arial"/>
                <w:sz w:val="18"/>
                <w:szCs w:val="18"/>
                <w:color w:val="auto"/>
                <w:w w:val="99"/>
              </w:rPr>
              <w:t>September 24</w:t>
            </w:r>
          </w:p>
        </w:tc>
      </w:tr>
      <w:tr>
        <w:trPr>
          <w:trHeight w:val="235"/>
        </w:trPr>
        <w:tc>
          <w:tcPr>
            <w:tcW w:w="74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(Percent)</w:t>
            </w:r>
          </w:p>
        </w:tc>
        <w:tc>
          <w:tcPr>
            <w:tcW w:w="7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w w:val="99"/>
              </w:rPr>
              <w:t>2024</w:t>
            </w:r>
          </w:p>
        </w:tc>
        <w:tc>
          <w:tcPr>
            <w:tcW w:w="1380" w:type="dxa"/>
            <w:vAlign w:val="bottom"/>
            <w:tcBorders>
              <w:bottom w:val="single" w:sz="8" w:color="auto"/>
            </w:tcBorders>
          </w:tcPr>
          <w:p>
            <w:pPr>
              <w:jc w:val="center"/>
              <w:ind w:left="850"/>
              <w:spacing w:after="0"/>
              <w:rPr>
                <w:sz w:val="20"/>
                <w:szCs w:val="20"/>
                <w:color w:val="auto"/>
              </w:rPr>
            </w:pPr>
            <w:r>
              <w:rPr>
                <w:rFonts w:ascii="Arial" w:cs="Arial" w:eastAsia="Arial" w:hAnsi="Arial"/>
                <w:sz w:val="18"/>
                <w:szCs w:val="18"/>
                <w:color w:val="auto"/>
                <w:w w:val="99"/>
              </w:rPr>
              <w:t>2023</w:t>
            </w:r>
          </w:p>
        </w:tc>
      </w:tr>
      <w:tr>
        <w:trPr>
          <w:trHeight w:val="250"/>
        </w:trPr>
        <w:tc>
          <w:tcPr>
            <w:tcW w:w="7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30"/>
        </w:trPr>
        <w:tc>
          <w:tcPr>
            <w:tcW w:w="7420" w:type="dxa"/>
            <w:vAlign w:val="bottom"/>
            <w:shd w:val="clear" w:color="auto" w:fill="CCEDFF"/>
          </w:tcPr>
          <w:p>
            <w:pPr>
              <w:ind w:left="20"/>
              <w:spacing w:after="0"/>
              <w:rPr>
                <w:sz w:val="20"/>
                <w:szCs w:val="20"/>
                <w:color w:val="auto"/>
              </w:rPr>
            </w:pPr>
            <w:r>
              <w:rPr>
                <w:rFonts w:ascii="Arial" w:cs="Arial" w:eastAsia="Arial" w:hAnsi="Arial"/>
                <w:sz w:val="18"/>
                <w:szCs w:val="18"/>
                <w:color w:val="auto"/>
              </w:rPr>
              <w:t>Discount rate</w:t>
            </w:r>
          </w:p>
        </w:tc>
        <w:tc>
          <w:tcPr>
            <w:tcW w:w="760" w:type="dxa"/>
            <w:vAlign w:val="bottom"/>
            <w:shd w:val="clear" w:color="auto" w:fill="CCEDFF"/>
          </w:tcPr>
          <w:p>
            <w:pPr>
              <w:spacing w:after="0"/>
              <w:rPr>
                <w:sz w:val="19"/>
                <w:szCs w:val="19"/>
                <w:color w:val="auto"/>
              </w:rPr>
            </w:pPr>
          </w:p>
        </w:tc>
        <w:tc>
          <w:tcPr>
            <w:tcW w:w="1680" w:type="dxa"/>
            <w:vAlign w:val="bottom"/>
            <w:shd w:val="clear" w:color="auto" w:fill="CCEDFF"/>
          </w:tcPr>
          <w:p>
            <w:pPr>
              <w:jc w:val="center"/>
              <w:ind w:left="350"/>
              <w:spacing w:after="0"/>
              <w:rPr>
                <w:sz w:val="20"/>
                <w:szCs w:val="20"/>
                <w:color w:val="auto"/>
              </w:rPr>
            </w:pPr>
            <w:r>
              <w:rPr>
                <w:rFonts w:ascii="Arial" w:cs="Arial" w:eastAsia="Arial" w:hAnsi="Arial"/>
                <w:sz w:val="18"/>
                <w:szCs w:val="18"/>
                <w:color w:val="auto"/>
                <w:w w:val="95"/>
              </w:rPr>
              <w:t>4.8</w:t>
            </w:r>
          </w:p>
        </w:tc>
        <w:tc>
          <w:tcPr>
            <w:tcW w:w="1380" w:type="dxa"/>
            <w:vAlign w:val="bottom"/>
            <w:shd w:val="clear" w:color="auto" w:fill="CCEDFF"/>
          </w:tcPr>
          <w:p>
            <w:pPr>
              <w:jc w:val="center"/>
              <w:ind w:left="890"/>
              <w:spacing w:after="0"/>
              <w:rPr>
                <w:sz w:val="20"/>
                <w:szCs w:val="20"/>
                <w:color w:val="auto"/>
              </w:rPr>
            </w:pPr>
            <w:r>
              <w:rPr>
                <w:rFonts w:ascii="Arial" w:cs="Arial" w:eastAsia="Arial" w:hAnsi="Arial"/>
                <w:sz w:val="18"/>
                <w:szCs w:val="18"/>
                <w:color w:val="auto"/>
                <w:w w:val="95"/>
              </w:rPr>
              <w:t>5.7</w:t>
            </w:r>
          </w:p>
        </w:tc>
      </w:tr>
      <w:tr>
        <w:trPr>
          <w:trHeight w:val="229"/>
        </w:trPr>
        <w:tc>
          <w:tcPr>
            <w:tcW w:w="7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Interest crediting rate</w:t>
            </w:r>
          </w:p>
        </w:tc>
        <w:tc>
          <w:tcPr>
            <w:tcW w:w="7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color w:val="auto"/>
                <w:w w:val="95"/>
              </w:rPr>
              <w:t>2.5</w:t>
            </w:r>
          </w:p>
        </w:tc>
        <w:tc>
          <w:tcPr>
            <w:tcW w:w="1380" w:type="dxa"/>
            <w:vAlign w:val="bottom"/>
            <w:tcBorders>
              <w:bottom w:val="single" w:sz="8" w:color="auto"/>
            </w:tcBorders>
          </w:tcPr>
          <w:p>
            <w:pPr>
              <w:jc w:val="center"/>
              <w:ind w:left="890"/>
              <w:spacing w:after="0"/>
              <w:rPr>
                <w:sz w:val="20"/>
                <w:szCs w:val="20"/>
                <w:color w:val="auto"/>
              </w:rPr>
            </w:pPr>
            <w:r>
              <w:rPr>
                <w:rFonts w:ascii="Arial" w:cs="Arial" w:eastAsia="Arial" w:hAnsi="Arial"/>
                <w:sz w:val="18"/>
                <w:szCs w:val="18"/>
                <w:color w:val="auto"/>
                <w:w w:val="95"/>
              </w:rPr>
              <w:t>2.5</w:t>
            </w:r>
          </w:p>
        </w:tc>
      </w:tr>
      <w:tr>
        <w:trPr>
          <w:trHeight w:val="484"/>
        </w:trPr>
        <w:tc>
          <w:tcPr>
            <w:tcW w:w="7420" w:type="dxa"/>
            <w:vAlign w:val="bottom"/>
          </w:tcPr>
          <w:p>
            <w:pPr>
              <w:spacing w:after="0"/>
              <w:rPr>
                <w:sz w:val="20"/>
                <w:szCs w:val="20"/>
                <w:color w:val="auto"/>
              </w:rPr>
            </w:pPr>
            <w:r>
              <w:rPr>
                <w:rFonts w:ascii="Arial" w:cs="Arial" w:eastAsia="Arial" w:hAnsi="Arial"/>
                <w:sz w:val="18"/>
                <w:szCs w:val="18"/>
                <w:color w:val="auto"/>
              </w:rPr>
              <w:t>Weighted-average assumptions used to determine net periodic benefit cost are as follows:</w:t>
            </w:r>
          </w:p>
        </w:tc>
        <w:tc>
          <w:tcPr>
            <w:tcW w:w="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12"/>
        </w:trPr>
        <w:tc>
          <w:tcPr>
            <w:tcW w:w="7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r>
      <w:tr>
        <w:trPr>
          <w:trHeight w:val="223"/>
        </w:trPr>
        <w:tc>
          <w:tcPr>
            <w:tcW w:w="74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(Percent)</w:t>
            </w:r>
          </w:p>
        </w:tc>
        <w:tc>
          <w:tcPr>
            <w:tcW w:w="7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9"/>
              </w:rPr>
              <w:t>2024</w:t>
            </w:r>
          </w:p>
        </w:tc>
        <w:tc>
          <w:tcPr>
            <w:tcW w:w="1680" w:type="dxa"/>
            <w:vAlign w:val="bottom"/>
            <w:tcBorders>
              <w:bottom w:val="single" w:sz="8" w:color="auto"/>
            </w:tcBorders>
          </w:tcPr>
          <w:p>
            <w:pPr>
              <w:jc w:val="center"/>
              <w:ind w:left="750"/>
              <w:spacing w:after="0"/>
              <w:rPr>
                <w:sz w:val="20"/>
                <w:szCs w:val="20"/>
                <w:color w:val="auto"/>
              </w:rPr>
            </w:pPr>
            <w:r>
              <w:rPr>
                <w:rFonts w:ascii="Arial" w:cs="Arial" w:eastAsia="Arial" w:hAnsi="Arial"/>
                <w:sz w:val="18"/>
                <w:szCs w:val="18"/>
                <w:color w:val="auto"/>
                <w:w w:val="99"/>
              </w:rPr>
              <w:t>2023</w:t>
            </w:r>
          </w:p>
        </w:tc>
        <w:tc>
          <w:tcPr>
            <w:tcW w:w="1380" w:type="dxa"/>
            <w:vAlign w:val="bottom"/>
            <w:tcBorders>
              <w:bottom w:val="single" w:sz="8" w:color="auto"/>
            </w:tcBorders>
          </w:tcPr>
          <w:p>
            <w:pPr>
              <w:jc w:val="center"/>
              <w:ind w:left="850"/>
              <w:spacing w:after="0"/>
              <w:rPr>
                <w:sz w:val="20"/>
                <w:szCs w:val="20"/>
                <w:color w:val="auto"/>
              </w:rPr>
            </w:pPr>
            <w:r>
              <w:rPr>
                <w:rFonts w:ascii="Arial" w:cs="Arial" w:eastAsia="Arial" w:hAnsi="Arial"/>
                <w:sz w:val="18"/>
                <w:szCs w:val="18"/>
                <w:color w:val="auto"/>
                <w:w w:val="99"/>
              </w:rPr>
              <w:t>2022</w:t>
            </w:r>
          </w:p>
        </w:tc>
      </w:tr>
      <w:tr>
        <w:trPr>
          <w:trHeight w:val="223"/>
        </w:trPr>
        <w:tc>
          <w:tcPr>
            <w:tcW w:w="7420" w:type="dxa"/>
            <w:vAlign w:val="bottom"/>
            <w:shd w:val="clear" w:color="auto" w:fill="CCEDFF"/>
          </w:tcPr>
          <w:p>
            <w:pPr>
              <w:ind w:left="20"/>
              <w:spacing w:after="0"/>
              <w:rPr>
                <w:sz w:val="20"/>
                <w:szCs w:val="20"/>
                <w:color w:val="auto"/>
              </w:rPr>
            </w:pPr>
            <w:r>
              <w:rPr>
                <w:rFonts w:ascii="Arial" w:cs="Arial" w:eastAsia="Arial" w:hAnsi="Arial"/>
                <w:sz w:val="18"/>
                <w:szCs w:val="18"/>
                <w:color w:val="auto"/>
              </w:rPr>
              <w:t>Discount rate - service cost</w:t>
            </w:r>
          </w:p>
        </w:tc>
        <w:tc>
          <w:tcPr>
            <w:tcW w:w="760" w:type="dxa"/>
            <w:vAlign w:val="bottom"/>
            <w:shd w:val="clear" w:color="auto" w:fill="CCEDFF"/>
          </w:tcPr>
          <w:p>
            <w:pPr>
              <w:jc w:val="center"/>
              <w:ind w:left="70"/>
              <w:spacing w:after="0"/>
              <w:rPr>
                <w:sz w:val="20"/>
                <w:szCs w:val="20"/>
                <w:color w:val="auto"/>
              </w:rPr>
            </w:pPr>
            <w:r>
              <w:rPr>
                <w:rFonts w:ascii="Arial" w:cs="Arial" w:eastAsia="Arial" w:hAnsi="Arial"/>
                <w:sz w:val="18"/>
                <w:szCs w:val="18"/>
                <w:color w:val="auto"/>
                <w:w w:val="95"/>
              </w:rPr>
              <w:t>5.8</w:t>
            </w:r>
          </w:p>
        </w:tc>
        <w:tc>
          <w:tcPr>
            <w:tcW w:w="1680" w:type="dxa"/>
            <w:vAlign w:val="bottom"/>
            <w:shd w:val="clear" w:color="auto" w:fill="CCEDFF"/>
          </w:tcPr>
          <w:p>
            <w:pPr>
              <w:jc w:val="center"/>
              <w:ind w:left="790"/>
              <w:spacing w:after="0"/>
              <w:rPr>
                <w:sz w:val="20"/>
                <w:szCs w:val="20"/>
                <w:color w:val="auto"/>
              </w:rPr>
            </w:pPr>
            <w:r>
              <w:rPr>
                <w:rFonts w:ascii="Arial" w:cs="Arial" w:eastAsia="Arial" w:hAnsi="Arial"/>
                <w:sz w:val="18"/>
                <w:szCs w:val="18"/>
                <w:color w:val="auto"/>
                <w:w w:val="95"/>
              </w:rPr>
              <w:t>5.8</w:t>
            </w:r>
          </w:p>
        </w:tc>
        <w:tc>
          <w:tcPr>
            <w:tcW w:w="1380" w:type="dxa"/>
            <w:vAlign w:val="bottom"/>
            <w:shd w:val="clear" w:color="auto" w:fill="CCEDFF"/>
          </w:tcPr>
          <w:p>
            <w:pPr>
              <w:jc w:val="center"/>
              <w:ind w:left="890"/>
              <w:spacing w:after="0"/>
              <w:rPr>
                <w:sz w:val="20"/>
                <w:szCs w:val="20"/>
                <w:color w:val="auto"/>
              </w:rPr>
            </w:pPr>
            <w:r>
              <w:rPr>
                <w:rFonts w:ascii="Arial" w:cs="Arial" w:eastAsia="Arial" w:hAnsi="Arial"/>
                <w:sz w:val="18"/>
                <w:szCs w:val="18"/>
                <w:color w:val="auto"/>
                <w:w w:val="95"/>
              </w:rPr>
              <w:t>5.4</w:t>
            </w: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Discount rate - interest cost</w:t>
            </w:r>
          </w:p>
        </w:tc>
        <w:tc>
          <w:tcPr>
            <w:tcW w:w="760" w:type="dxa"/>
            <w:vAlign w:val="bottom"/>
          </w:tcPr>
          <w:p>
            <w:pPr>
              <w:jc w:val="center"/>
              <w:ind w:left="70"/>
              <w:spacing w:after="0"/>
              <w:rPr>
                <w:sz w:val="20"/>
                <w:szCs w:val="20"/>
                <w:color w:val="auto"/>
              </w:rPr>
            </w:pPr>
            <w:r>
              <w:rPr>
                <w:rFonts w:ascii="Arial" w:cs="Arial" w:eastAsia="Arial" w:hAnsi="Arial"/>
                <w:sz w:val="18"/>
                <w:szCs w:val="18"/>
                <w:color w:val="auto"/>
                <w:w w:val="95"/>
              </w:rPr>
              <w:t>5.5</w:t>
            </w:r>
          </w:p>
        </w:tc>
        <w:tc>
          <w:tcPr>
            <w:tcW w:w="1680" w:type="dxa"/>
            <w:vAlign w:val="bottom"/>
          </w:tcPr>
          <w:p>
            <w:pPr>
              <w:jc w:val="center"/>
              <w:ind w:left="790"/>
              <w:spacing w:after="0"/>
              <w:rPr>
                <w:sz w:val="20"/>
                <w:szCs w:val="20"/>
                <w:color w:val="auto"/>
              </w:rPr>
            </w:pPr>
            <w:r>
              <w:rPr>
                <w:rFonts w:ascii="Arial" w:cs="Arial" w:eastAsia="Arial" w:hAnsi="Arial"/>
                <w:sz w:val="18"/>
                <w:szCs w:val="18"/>
                <w:color w:val="auto"/>
                <w:w w:val="95"/>
              </w:rPr>
              <w:t>5.7</w:t>
            </w:r>
          </w:p>
        </w:tc>
        <w:tc>
          <w:tcPr>
            <w:tcW w:w="1380" w:type="dxa"/>
            <w:vAlign w:val="bottom"/>
          </w:tcPr>
          <w:p>
            <w:pPr>
              <w:jc w:val="center"/>
              <w:ind w:left="890"/>
              <w:spacing w:after="0"/>
              <w:rPr>
                <w:sz w:val="20"/>
                <w:szCs w:val="20"/>
                <w:color w:val="auto"/>
              </w:rPr>
            </w:pPr>
            <w:r>
              <w:rPr>
                <w:rFonts w:ascii="Arial" w:cs="Arial" w:eastAsia="Arial" w:hAnsi="Arial"/>
                <w:sz w:val="18"/>
                <w:szCs w:val="18"/>
                <w:color w:val="auto"/>
                <w:w w:val="95"/>
              </w:rPr>
              <w:t>5.3</w:t>
            </w:r>
          </w:p>
        </w:tc>
      </w:tr>
      <w:tr>
        <w:trPr>
          <w:trHeight w:val="230"/>
        </w:trPr>
        <w:tc>
          <w:tcPr>
            <w:tcW w:w="742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Expected long-term return on plan assets</w:t>
            </w:r>
          </w:p>
        </w:tc>
        <w:tc>
          <w:tcPr>
            <w:tcW w:w="760" w:type="dxa"/>
            <w:vAlign w:val="bottom"/>
            <w:tcBorders>
              <w:bottom w:val="single" w:sz="8" w:color="auto"/>
            </w:tcBorders>
            <w:shd w:val="clear" w:color="auto" w:fill="CCEDFF"/>
          </w:tcPr>
          <w:p>
            <w:pPr>
              <w:jc w:val="center"/>
              <w:ind w:left="70"/>
              <w:spacing w:after="0"/>
              <w:rPr>
                <w:sz w:val="20"/>
                <w:szCs w:val="20"/>
                <w:color w:val="auto"/>
              </w:rPr>
            </w:pPr>
            <w:r>
              <w:rPr>
                <w:rFonts w:ascii="Arial" w:cs="Arial" w:eastAsia="Arial" w:hAnsi="Arial"/>
                <w:sz w:val="18"/>
                <w:szCs w:val="18"/>
                <w:color w:val="auto"/>
                <w:w w:val="95"/>
              </w:rPr>
              <w:t>5.0</w:t>
            </w:r>
          </w:p>
        </w:tc>
        <w:tc>
          <w:tcPr>
            <w:tcW w:w="1680" w:type="dxa"/>
            <w:vAlign w:val="bottom"/>
            <w:tcBorders>
              <w:bottom w:val="single" w:sz="8" w:color="auto"/>
            </w:tcBorders>
            <w:shd w:val="clear" w:color="auto" w:fill="CCEDFF"/>
          </w:tcPr>
          <w:p>
            <w:pPr>
              <w:jc w:val="center"/>
              <w:ind w:left="790"/>
              <w:spacing w:after="0"/>
              <w:rPr>
                <w:sz w:val="20"/>
                <w:szCs w:val="20"/>
                <w:color w:val="auto"/>
              </w:rPr>
            </w:pPr>
            <w:r>
              <w:rPr>
                <w:rFonts w:ascii="Arial" w:cs="Arial" w:eastAsia="Arial" w:hAnsi="Arial"/>
                <w:sz w:val="18"/>
                <w:szCs w:val="18"/>
                <w:color w:val="auto"/>
                <w:w w:val="95"/>
              </w:rPr>
              <w:t>5.0</w:t>
            </w:r>
          </w:p>
        </w:tc>
        <w:tc>
          <w:tcPr>
            <w:tcW w:w="1380" w:type="dxa"/>
            <w:vAlign w:val="bottom"/>
            <w:tcBorders>
              <w:bottom w:val="single" w:sz="8" w:color="auto"/>
            </w:tcBorders>
            <w:shd w:val="clear" w:color="auto" w:fill="CCEDFF"/>
          </w:tcPr>
          <w:p>
            <w:pPr>
              <w:jc w:val="center"/>
              <w:ind w:left="890"/>
              <w:spacing w:after="0"/>
              <w:rPr>
                <w:sz w:val="20"/>
                <w:szCs w:val="20"/>
                <w:color w:val="auto"/>
              </w:rPr>
            </w:pPr>
            <w:r>
              <w:rPr>
                <w:rFonts w:ascii="Arial" w:cs="Arial" w:eastAsia="Arial" w:hAnsi="Arial"/>
                <w:sz w:val="18"/>
                <w:szCs w:val="18"/>
                <w:color w:val="auto"/>
                <w:w w:val="95"/>
              </w:rPr>
              <w:t>5.0</w:t>
            </w: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2024, the expected long-term return on Plan assets is 5.0%. The assumptions related to the expected long-term return on Plan assets are developed through an analysis of historical market returns, current market conditions and composition of Plan assets.</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September 29, 2024, the most significant driver of the decrease in benefit obligation was the voluntary lump sum offering. Additionally, the Plan recognized actuarial losses due to decreases in bond yields that resulted in decreases to the discount rate. For the year ended September 24, 2023, the most significant driver of the decrease in benefit obligation was the actual return on assets exceeding expected returns and higher actuarial gains experienced by the Plan. The Plan recognized actuarial gains due to increases in bond yields that resulted in increases to the discount rate.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primary objective of our investment strategy is to satisfy our pension obligations at a reasonable cost. Assets are actively invested to achieve a 100% liability hedge (which includes fixed income investments and cash).</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investment policy outlines the governance structure for decision-making, sets investment objectives and restrictions and establishes criteria for selecting and evaluating investment managers. The use of derivatives is prohibited, except on a case-by-case basis where the manager has a proven capability, and only to hedge quantifiable risks such as exposure to foreign currencies. An investment committee, consisting of certain of our executives and supported by independent consultants, is responsible for monitoring compliance with the investment policy. Assets are periodically redistributed to maintain the appropriate policy allocation.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asset allocation of our pension assets, is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(Percent)</w:t>
            </w:r>
          </w:p>
        </w:tc>
        <w:tc>
          <w:tcPr>
            <w:tcW w:w="27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Policy Allocation</w:t>
            </w:r>
          </w:p>
        </w:tc>
        <w:tc>
          <w:tcPr>
            <w:tcW w:w="18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Policy Allocation</w:t>
            </w:r>
          </w:p>
        </w:tc>
        <w:tc>
          <w:tcPr>
            <w:tcW w:w="3220" w:type="dxa"/>
            <w:vAlign w:val="bottom"/>
            <w:tcBorders>
              <w:top w:val="single" w:sz="8" w:color="auto"/>
              <w:bottom w:val="single" w:sz="8" w:color="auto"/>
            </w:tcBorders>
            <w:gridSpan w:val="2"/>
          </w:tcPr>
          <w:p>
            <w:pPr>
              <w:jc w:val="right"/>
              <w:ind w:right="990"/>
              <w:spacing w:after="0"/>
              <w:rPr>
                <w:sz w:val="20"/>
                <w:szCs w:val="20"/>
                <w:color w:val="auto"/>
              </w:rPr>
            </w:pPr>
            <w:r>
              <w:rPr>
                <w:rFonts w:ascii="Arial" w:cs="Arial" w:eastAsia="Arial" w:hAnsi="Arial"/>
                <w:sz w:val="18"/>
                <w:szCs w:val="18"/>
                <w:color w:val="auto"/>
              </w:rPr>
              <w:t>Actual Allocation</w:t>
            </w:r>
          </w:p>
        </w:tc>
        <w:tc>
          <w:tcPr>
            <w:tcW w:w="0" w:type="dxa"/>
            <w:vAlign w:val="bottom"/>
          </w:tcPr>
          <w:p>
            <w:pPr>
              <w:spacing w:after="0"/>
              <w:rPr>
                <w:sz w:val="1"/>
                <w:szCs w:val="1"/>
                <w:color w:val="auto"/>
              </w:rPr>
            </w:pPr>
          </w:p>
        </w:tc>
      </w:tr>
      <w:tr>
        <w:trPr>
          <w:trHeight w:val="169"/>
        </w:trPr>
        <w:tc>
          <w:tcPr>
            <w:tcW w:w="3460" w:type="dxa"/>
            <w:vAlign w:val="bottom"/>
            <w:vMerge w:val="restart"/>
          </w:tcPr>
          <w:p>
            <w:pPr>
              <w:ind w:left="20"/>
              <w:spacing w:after="0"/>
              <w:rPr>
                <w:sz w:val="20"/>
                <w:szCs w:val="20"/>
                <w:color w:val="auto"/>
              </w:rPr>
            </w:pPr>
            <w:r>
              <w:rPr>
                <w:rFonts w:ascii="Arial" w:cs="Arial" w:eastAsia="Arial" w:hAnsi="Arial"/>
                <w:sz w:val="18"/>
                <w:szCs w:val="18"/>
                <w:color w:val="auto"/>
              </w:rPr>
              <w:t>Asset Class</w:t>
            </w:r>
          </w:p>
        </w:tc>
        <w:tc>
          <w:tcPr>
            <w:tcW w:w="2760" w:type="dxa"/>
            <w:vAlign w:val="bottom"/>
          </w:tcPr>
          <w:p>
            <w:pPr>
              <w:jc w:val="right"/>
              <w:ind w:right="110"/>
              <w:spacing w:after="0" w:line="169" w:lineRule="exact"/>
              <w:rPr>
                <w:sz w:val="20"/>
                <w:szCs w:val="20"/>
                <w:color w:val="auto"/>
              </w:rPr>
            </w:pPr>
            <w:r>
              <w:rPr>
                <w:rFonts w:ascii="Arial" w:cs="Arial" w:eastAsia="Arial" w:hAnsi="Arial"/>
                <w:sz w:val="18"/>
                <w:szCs w:val="18"/>
                <w:color w:val="auto"/>
              </w:rPr>
              <w:t>September 29</w:t>
            </w:r>
          </w:p>
        </w:tc>
        <w:tc>
          <w:tcPr>
            <w:tcW w:w="1800" w:type="dxa"/>
            <w:vAlign w:val="bottom"/>
          </w:tcPr>
          <w:p>
            <w:pPr>
              <w:jc w:val="right"/>
              <w:ind w:right="210"/>
              <w:spacing w:after="0" w:line="169" w:lineRule="exact"/>
              <w:rPr>
                <w:sz w:val="20"/>
                <w:szCs w:val="20"/>
                <w:color w:val="auto"/>
              </w:rPr>
            </w:pPr>
            <w:r>
              <w:rPr>
                <w:rFonts w:ascii="Arial" w:cs="Arial" w:eastAsia="Arial" w:hAnsi="Arial"/>
                <w:sz w:val="18"/>
                <w:szCs w:val="18"/>
                <w:color w:val="auto"/>
              </w:rPr>
              <w:t>September 24</w:t>
            </w:r>
          </w:p>
        </w:tc>
        <w:tc>
          <w:tcPr>
            <w:tcW w:w="1740" w:type="dxa"/>
            <w:vAlign w:val="bottom"/>
          </w:tcPr>
          <w:p>
            <w:pPr>
              <w:jc w:val="right"/>
              <w:ind w:right="250"/>
              <w:spacing w:after="0" w:line="169" w:lineRule="exact"/>
              <w:rPr>
                <w:sz w:val="20"/>
                <w:szCs w:val="20"/>
                <w:color w:val="auto"/>
              </w:rPr>
            </w:pPr>
            <w:r>
              <w:rPr>
                <w:rFonts w:ascii="Arial" w:cs="Arial" w:eastAsia="Arial" w:hAnsi="Arial"/>
                <w:sz w:val="18"/>
                <w:szCs w:val="18"/>
                <w:color w:val="auto"/>
              </w:rPr>
              <w:t>September 29</w:t>
            </w:r>
          </w:p>
        </w:tc>
        <w:tc>
          <w:tcPr>
            <w:tcW w:w="1480" w:type="dxa"/>
            <w:vAlign w:val="bottom"/>
          </w:tcPr>
          <w:p>
            <w:pPr>
              <w:jc w:val="right"/>
              <w:spacing w:after="0" w:line="169" w:lineRule="exact"/>
              <w:rPr>
                <w:sz w:val="20"/>
                <w:szCs w:val="20"/>
                <w:color w:val="auto"/>
              </w:rPr>
            </w:pPr>
            <w:r>
              <w:rPr>
                <w:rFonts w:ascii="Arial" w:cs="Arial" w:eastAsia="Arial" w:hAnsi="Arial"/>
                <w:sz w:val="18"/>
                <w:szCs w:val="18"/>
                <w:color w:val="auto"/>
              </w:rPr>
              <w:t>September 24</w:t>
            </w:r>
          </w:p>
        </w:tc>
        <w:tc>
          <w:tcPr>
            <w:tcW w:w="0" w:type="dxa"/>
            <w:vAlign w:val="bottom"/>
          </w:tcPr>
          <w:p>
            <w:pPr>
              <w:spacing w:after="0"/>
              <w:rPr>
                <w:sz w:val="1"/>
                <w:szCs w:val="1"/>
                <w:color w:val="auto"/>
              </w:rPr>
            </w:pPr>
          </w:p>
        </w:tc>
      </w:tr>
      <w:tr>
        <w:trPr>
          <w:trHeight w:val="243"/>
        </w:trPr>
        <w:tc>
          <w:tcPr>
            <w:tcW w:w="3460" w:type="dxa"/>
            <w:vAlign w:val="bottom"/>
            <w:tcBorders>
              <w:bottom w:val="single" w:sz="8" w:color="auto"/>
            </w:tcBorders>
            <w:vMerge w:val="continue"/>
          </w:tcPr>
          <w:p>
            <w:pPr>
              <w:spacing w:after="0"/>
              <w:rPr>
                <w:sz w:val="21"/>
                <w:szCs w:val="21"/>
                <w:color w:val="auto"/>
              </w:rPr>
            </w:pPr>
          </w:p>
        </w:tc>
        <w:tc>
          <w:tcPr>
            <w:tcW w:w="2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2024</w:t>
            </w:r>
          </w:p>
        </w:tc>
        <w:tc>
          <w:tcPr>
            <w:tcW w:w="1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2023</w:t>
            </w:r>
          </w:p>
        </w:tc>
        <w:tc>
          <w:tcPr>
            <w:tcW w:w="1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2024</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Income</w:t>
            </w:r>
          </w:p>
        </w:tc>
        <w:tc>
          <w:tcPr>
            <w:tcW w:w="27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100</w:t>
            </w:r>
          </w:p>
        </w:tc>
        <w:tc>
          <w:tcPr>
            <w:tcW w:w="18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95</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27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270"/>
              <w:spacing w:after="0"/>
              <w:rPr>
                <w:sz w:val="20"/>
                <w:szCs w:val="20"/>
                <w:color w:val="auto"/>
              </w:rPr>
            </w:pPr>
            <w:r>
              <w:rPr>
                <w:rFonts w:ascii="Arial" w:cs="Arial" w:eastAsia="Arial" w:hAnsi="Arial"/>
                <w:sz w:val="18"/>
                <w:szCs w:val="18"/>
                <w:color w:val="auto"/>
              </w:rPr>
              <w:t>25</w:t>
            </w:r>
          </w:p>
        </w:tc>
        <w:tc>
          <w:tcPr>
            <w:tcW w:w="17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securities</w:t>
            </w:r>
          </w:p>
        </w:tc>
        <w:tc>
          <w:tcPr>
            <w:tcW w:w="27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65</w:t>
            </w:r>
          </w:p>
        </w:tc>
        <w:tc>
          <w:tcPr>
            <w:tcW w:w="17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Hedge fund investments</w:t>
            </w:r>
          </w:p>
        </w:tc>
        <w:tc>
          <w:tcPr>
            <w:tcW w:w="27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270"/>
              <w:spacing w:after="0"/>
              <w:rPr>
                <w:sz w:val="20"/>
                <w:szCs w:val="20"/>
                <w:color w:val="auto"/>
              </w:rPr>
            </w:pPr>
            <w:r>
              <w:rPr>
                <w:rFonts w:ascii="Arial" w:cs="Arial" w:eastAsia="Arial" w:hAnsi="Arial"/>
                <w:sz w:val="18"/>
                <w:szCs w:val="18"/>
                <w:color w:val="auto"/>
              </w:rPr>
              <w:t>10</w:t>
            </w:r>
          </w:p>
        </w:tc>
        <w:tc>
          <w:tcPr>
            <w:tcW w:w="1740" w:type="dxa"/>
            <w:vAlign w:val="bottom"/>
          </w:tcPr>
          <w:p>
            <w:pPr>
              <w:jc w:val="right"/>
              <w:ind w:right="310"/>
              <w:spacing w:after="0"/>
              <w:rPr>
                <w:sz w:val="20"/>
                <w:szCs w:val="20"/>
                <w:color w:val="auto"/>
              </w:rPr>
            </w:pPr>
            <w:r>
              <w:rPr>
                <w:rFonts w:ascii="Arial" w:cs="Arial" w:eastAsia="Arial" w:hAnsi="Arial"/>
                <w:sz w:val="18"/>
                <w:szCs w:val="18"/>
                <w:color w:val="auto"/>
              </w:rPr>
              <w:t>3</w:t>
            </w:r>
          </w:p>
        </w:tc>
        <w:tc>
          <w:tcPr>
            <w:tcW w:w="14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5"/>
        </w:trPr>
        <w:tc>
          <w:tcPr>
            <w:tcW w:w="3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7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bottom w:val="single" w:sz="8" w:color="auto"/>
            </w:tcBorders>
          </w:tcPr>
          <w:p>
            <w:pPr>
              <w:spacing w:after="0" w:line="20" w:lineRule="exact"/>
              <w:rPr>
                <w:sz w:val="1"/>
                <w:szCs w:val="1"/>
                <w:color w:val="auto"/>
              </w:rPr>
            </w:pPr>
          </w:p>
        </w:tc>
        <w:tc>
          <w:tcPr>
            <w:tcW w:w="27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2"/>
        </w:trPr>
        <w:tc>
          <w:tcPr>
            <w:tcW w:w="3460" w:type="dxa"/>
            <w:vAlign w:val="bottom"/>
          </w:tcPr>
          <w:p>
            <w:pPr>
              <w:spacing w:after="0"/>
              <w:rPr>
                <w:sz w:val="24"/>
                <w:szCs w:val="24"/>
                <w:color w:val="auto"/>
              </w:rPr>
            </w:pPr>
          </w:p>
        </w:tc>
        <w:tc>
          <w:tcPr>
            <w:tcW w:w="2760" w:type="dxa"/>
            <w:vAlign w:val="bottom"/>
          </w:tcPr>
          <w:p>
            <w:pPr>
              <w:jc w:val="right"/>
              <w:ind w:right="410"/>
              <w:spacing w:after="0"/>
              <w:rPr>
                <w:sz w:val="20"/>
                <w:szCs w:val="20"/>
                <w:color w:val="auto"/>
              </w:rPr>
            </w:pPr>
            <w:r>
              <w:rPr>
                <w:rFonts w:ascii="Arial" w:cs="Arial" w:eastAsia="Arial" w:hAnsi="Arial"/>
                <w:sz w:val="18"/>
                <w:szCs w:val="18"/>
                <w:color w:val="auto"/>
              </w:rPr>
              <w:t>52</w:t>
            </w:r>
          </w:p>
        </w:tc>
        <w:tc>
          <w:tcPr>
            <w:tcW w:w="18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3460" w:type="dxa"/>
            <w:vAlign w:val="bottom"/>
            <w:tcBorders>
              <w:bottom w:val="single" w:sz="8" w:color="9A9A9A"/>
            </w:tcBorders>
          </w:tcPr>
          <w:p>
            <w:pPr>
              <w:spacing w:after="0"/>
              <w:rPr>
                <w:sz w:val="8"/>
                <w:szCs w:val="8"/>
                <w:color w:val="auto"/>
              </w:rPr>
            </w:pPr>
          </w:p>
        </w:tc>
        <w:tc>
          <w:tcPr>
            <w:tcW w:w="276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Plan assets include no Company securities. Assets include cash and cash equivalents and receivables from time to time due to the need to reallocate assets within policy guidelines.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of pension assets at September 29, 2024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29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NAV</w:t>
            </w:r>
          </w:p>
        </w:tc>
        <w:tc>
          <w:tcPr>
            <w:tcW w:w="15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Level 1</w:t>
            </w:r>
          </w:p>
        </w:tc>
        <w:tc>
          <w:tcPr>
            <w:tcW w:w="16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Level 2</w:t>
            </w:r>
          </w:p>
        </w:tc>
        <w:tc>
          <w:tcPr>
            <w:tcW w:w="110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w w:val="99"/>
              </w:rPr>
              <w:t>Level 3</w:t>
            </w:r>
          </w:p>
        </w:tc>
      </w:tr>
      <w:tr>
        <w:trPr>
          <w:trHeight w:val="250"/>
        </w:trPr>
        <w:tc>
          <w:tcPr>
            <w:tcW w:w="408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29"/>
        </w:trPr>
        <w:tc>
          <w:tcPr>
            <w:tcW w:w="4080" w:type="dxa"/>
            <w:vAlign w:val="bottom"/>
            <w:shd w:val="clear" w:color="auto" w:fill="CCEDFF"/>
          </w:tcPr>
          <w:p>
            <w:pPr>
              <w:ind w:left="20"/>
              <w:spacing w:after="0"/>
              <w:rPr>
                <w:sz w:val="20"/>
                <w:szCs w:val="20"/>
                <w:color w:val="auto"/>
              </w:rPr>
            </w:pPr>
            <w:r>
              <w:rPr>
                <w:rFonts w:ascii="Arial" w:cs="Arial" w:eastAsia="Arial" w:hAnsi="Arial"/>
                <w:sz w:val="18"/>
                <w:szCs w:val="18"/>
                <w:color w:val="auto"/>
              </w:rPr>
              <w:t>Cash and cash equivalents</w:t>
            </w:r>
          </w:p>
        </w:tc>
        <w:tc>
          <w:tcPr>
            <w:tcW w:w="2920" w:type="dxa"/>
            <w:vAlign w:val="bottom"/>
            <w:shd w:val="clear" w:color="auto" w:fill="CCEDFF"/>
          </w:tcPr>
          <w:p>
            <w:pPr>
              <w:jc w:val="right"/>
              <w:ind w:right="47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3,191</w:t>
            </w:r>
          </w:p>
        </w:tc>
        <w:tc>
          <w:tcPr>
            <w:tcW w:w="1640" w:type="dxa"/>
            <w:vAlign w:val="bottom"/>
            <w:shd w:val="clear" w:color="auto" w:fill="CCEDFF"/>
          </w:tcPr>
          <w:p>
            <w:pPr>
              <w:jc w:val="right"/>
              <w:ind w:right="4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DFF"/>
          </w:tcPr>
          <w:p>
            <w:pPr>
              <w:ind w:left="840"/>
              <w:spacing w:after="0"/>
              <w:rPr>
                <w:sz w:val="20"/>
                <w:szCs w:val="20"/>
                <w:color w:val="auto"/>
              </w:rPr>
            </w:pPr>
            <w:r>
              <w:rPr>
                <w:rFonts w:ascii="Arial" w:cs="Arial" w:eastAsia="Arial" w:hAnsi="Arial"/>
                <w:sz w:val="18"/>
                <w:szCs w:val="18"/>
                <w:color w:val="auto"/>
              </w:rPr>
              <w:t>—</w:t>
            </w: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Fixed income securities</w:t>
            </w:r>
          </w:p>
        </w:tc>
        <w:tc>
          <w:tcPr>
            <w:tcW w:w="2920" w:type="dxa"/>
            <w:vAlign w:val="bottom"/>
          </w:tcPr>
          <w:p>
            <w:pPr>
              <w:jc w:val="right"/>
              <w:ind w:right="470"/>
              <w:spacing w:after="0"/>
              <w:rPr>
                <w:sz w:val="20"/>
                <w:szCs w:val="20"/>
                <w:color w:val="auto"/>
              </w:rPr>
            </w:pPr>
            <w:r>
              <w:rPr>
                <w:rFonts w:ascii="Arial" w:cs="Arial" w:eastAsia="Arial" w:hAnsi="Arial"/>
                <w:sz w:val="18"/>
                <w:szCs w:val="18"/>
                <w:color w:val="auto"/>
              </w:rPr>
              <w:t>5,043</w:t>
            </w: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470"/>
              <w:spacing w:after="0"/>
              <w:rPr>
                <w:sz w:val="20"/>
                <w:szCs w:val="20"/>
                <w:color w:val="auto"/>
              </w:rPr>
            </w:pPr>
            <w:r>
              <w:rPr>
                <w:rFonts w:ascii="Arial" w:cs="Arial" w:eastAsia="Arial" w:hAnsi="Arial"/>
                <w:sz w:val="18"/>
                <w:szCs w:val="18"/>
                <w:color w:val="auto"/>
              </w:rPr>
              <w:t>179,042</w:t>
            </w:r>
          </w:p>
        </w:tc>
        <w:tc>
          <w:tcPr>
            <w:tcW w:w="110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54"/>
        </w:trPr>
        <w:tc>
          <w:tcPr>
            <w:tcW w:w="408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Hedge fund investments</w:t>
            </w:r>
          </w:p>
        </w:tc>
        <w:tc>
          <w:tcPr>
            <w:tcW w:w="2920" w:type="dxa"/>
            <w:vAlign w:val="bottom"/>
            <w:tcBorders>
              <w:bottom w:val="single" w:sz="8" w:color="auto"/>
            </w:tcBorders>
            <w:shd w:val="clear" w:color="auto" w:fill="CCEDFF"/>
          </w:tcPr>
          <w:p>
            <w:pPr>
              <w:jc w:val="right"/>
              <w:ind w:right="470"/>
              <w:spacing w:after="0"/>
              <w:rPr>
                <w:sz w:val="20"/>
                <w:szCs w:val="20"/>
                <w:color w:val="auto"/>
              </w:rPr>
            </w:pPr>
            <w:r>
              <w:rPr>
                <w:rFonts w:ascii="Arial" w:cs="Arial" w:eastAsia="Arial" w:hAnsi="Arial"/>
                <w:sz w:val="18"/>
                <w:szCs w:val="18"/>
                <w:color w:val="auto"/>
              </w:rPr>
              <w:t>5,931</w:t>
            </w:r>
          </w:p>
        </w:tc>
        <w:tc>
          <w:tcPr>
            <w:tcW w:w="1500" w:type="dxa"/>
            <w:vAlign w:val="bottom"/>
            <w:tcBorders>
              <w:bottom w:val="single" w:sz="8" w:color="auto"/>
            </w:tcBorders>
            <w:shd w:val="clear" w:color="auto" w:fill="CCEDFF"/>
          </w:tcPr>
          <w:p>
            <w:pPr>
              <w:jc w:val="right"/>
              <w:ind w:right="41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DFF"/>
          </w:tcPr>
          <w:p>
            <w:pPr>
              <w:jc w:val="right"/>
              <w:ind w:right="4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DFF"/>
          </w:tcPr>
          <w:p>
            <w:pPr>
              <w:ind w:left="840"/>
              <w:spacing w:after="0"/>
              <w:rPr>
                <w:sz w:val="20"/>
                <w:szCs w:val="20"/>
                <w:color w:val="auto"/>
              </w:rPr>
            </w:pPr>
            <w:r>
              <w:rPr>
                <w:rFonts w:ascii="Arial" w:cs="Arial" w:eastAsia="Arial" w:hAnsi="Arial"/>
                <w:sz w:val="18"/>
                <w:szCs w:val="18"/>
                <w:color w:val="auto"/>
              </w:rPr>
              <w:t>—</w:t>
            </w:r>
          </w:p>
        </w:tc>
      </w:tr>
      <w:tr>
        <w:trPr>
          <w:trHeight w:val="20"/>
        </w:trPr>
        <w:tc>
          <w:tcPr>
            <w:tcW w:w="4080" w:type="dxa"/>
            <w:vAlign w:val="bottom"/>
            <w:tcBorders>
              <w:top w:val="single" w:sz="8" w:color="CCEDFF"/>
              <w:bottom w:val="single" w:sz="8" w:color="auto"/>
            </w:tcBorders>
          </w:tcPr>
          <w:p>
            <w:pPr>
              <w:spacing w:after="0" w:line="20" w:lineRule="exact"/>
              <w:rPr>
                <w:sz w:val="1"/>
                <w:szCs w:val="1"/>
                <w:color w:val="auto"/>
              </w:rPr>
            </w:pPr>
          </w:p>
        </w:tc>
        <w:tc>
          <w:tcPr>
            <w:tcW w:w="2920" w:type="dxa"/>
            <w:vAlign w:val="bottom"/>
            <w:tcBorders>
              <w:top w:val="single" w:sz="8" w:color="CCEDFF"/>
              <w:bottom w:val="single" w:sz="8" w:color="auto"/>
            </w:tcBorders>
          </w:tcPr>
          <w:p>
            <w:pPr>
              <w:spacing w:after="0" w:line="20" w:lineRule="exact"/>
              <w:rPr>
                <w:sz w:val="1"/>
                <w:szCs w:val="1"/>
                <w:color w:val="auto"/>
              </w:rPr>
            </w:pPr>
          </w:p>
        </w:tc>
        <w:tc>
          <w:tcPr>
            <w:tcW w:w="1500" w:type="dxa"/>
            <w:vAlign w:val="bottom"/>
            <w:tcBorders>
              <w:top w:val="single" w:sz="8" w:color="CCEDFF"/>
              <w:bottom w:val="single" w:sz="8" w:color="auto"/>
            </w:tcBorders>
          </w:tcPr>
          <w:p>
            <w:pPr>
              <w:spacing w:after="0" w:line="20" w:lineRule="exact"/>
              <w:rPr>
                <w:sz w:val="1"/>
                <w:szCs w:val="1"/>
                <w:color w:val="auto"/>
              </w:rPr>
            </w:pPr>
          </w:p>
        </w:tc>
        <w:tc>
          <w:tcPr>
            <w:tcW w:w="1640" w:type="dxa"/>
            <w:vAlign w:val="bottom"/>
            <w:tcBorders>
              <w:top w:val="single" w:sz="8" w:color="CCEDFF"/>
              <w:bottom w:val="single" w:sz="8" w:color="auto"/>
            </w:tcBorders>
          </w:tcPr>
          <w:p>
            <w:pPr>
              <w:spacing w:after="0" w:line="20" w:lineRule="exact"/>
              <w:rPr>
                <w:sz w:val="1"/>
                <w:szCs w:val="1"/>
                <w:color w:val="auto"/>
              </w:rPr>
            </w:pPr>
          </w:p>
        </w:tc>
        <w:tc>
          <w:tcPr>
            <w:tcW w:w="1100" w:type="dxa"/>
            <w:vAlign w:val="bottom"/>
            <w:tcBorders>
              <w:top w:val="single" w:sz="8" w:color="CCED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of pension assets at September 24, 2023 was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28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NAV</w:t>
            </w:r>
          </w:p>
        </w:tc>
        <w:tc>
          <w:tcPr>
            <w:tcW w:w="15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Level 1</w:t>
            </w:r>
          </w:p>
        </w:tc>
        <w:tc>
          <w:tcPr>
            <w:tcW w:w="15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Level 2</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Level 3</w:t>
            </w:r>
          </w:p>
        </w:tc>
      </w:tr>
      <w:tr>
        <w:trPr>
          <w:trHeight w:val="250"/>
        </w:trPr>
        <w:tc>
          <w:tcPr>
            <w:tcW w:w="416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29"/>
        </w:trPr>
        <w:tc>
          <w:tcPr>
            <w:tcW w:w="4160" w:type="dxa"/>
            <w:vAlign w:val="bottom"/>
            <w:shd w:val="clear" w:color="auto" w:fill="CCEDFF"/>
          </w:tcPr>
          <w:p>
            <w:pPr>
              <w:ind w:left="20"/>
              <w:spacing w:after="0"/>
              <w:rPr>
                <w:sz w:val="20"/>
                <w:szCs w:val="20"/>
                <w:color w:val="auto"/>
              </w:rPr>
            </w:pPr>
            <w:r>
              <w:rPr>
                <w:rFonts w:ascii="Arial" w:cs="Arial" w:eastAsia="Arial" w:hAnsi="Arial"/>
                <w:sz w:val="18"/>
                <w:szCs w:val="18"/>
                <w:color w:val="auto"/>
              </w:rPr>
              <w:t>Cash and cash equivalents</w:t>
            </w:r>
          </w:p>
        </w:tc>
        <w:tc>
          <w:tcPr>
            <w:tcW w:w="284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1,937</w:t>
            </w:r>
          </w:p>
        </w:tc>
        <w:tc>
          <w:tcPr>
            <w:tcW w:w="158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D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Domestic equity securities</w:t>
            </w:r>
          </w:p>
        </w:tc>
        <w:tc>
          <w:tcPr>
            <w:tcW w:w="2840" w:type="dxa"/>
            <w:vAlign w:val="bottom"/>
          </w:tcPr>
          <w:p>
            <w:pPr>
              <w:jc w:val="right"/>
              <w:ind w:right="410"/>
              <w:spacing w:after="0"/>
              <w:rPr>
                <w:sz w:val="20"/>
                <w:szCs w:val="20"/>
                <w:color w:val="auto"/>
              </w:rPr>
            </w:pPr>
            <w:r>
              <w:rPr>
                <w:rFonts w:ascii="Arial" w:cs="Arial" w:eastAsia="Arial" w:hAnsi="Arial"/>
                <w:sz w:val="18"/>
                <w:szCs w:val="18"/>
                <w:color w:val="auto"/>
              </w:rPr>
              <w:t>2,252</w:t>
            </w: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30,885</w:t>
            </w:r>
          </w:p>
        </w:tc>
        <w:tc>
          <w:tcPr>
            <w:tcW w:w="15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160" w:type="dxa"/>
            <w:vAlign w:val="bottom"/>
            <w:shd w:val="clear" w:color="auto" w:fill="CCEDFF"/>
          </w:tcPr>
          <w:p>
            <w:pPr>
              <w:ind w:left="20"/>
              <w:spacing w:after="0"/>
              <w:rPr>
                <w:sz w:val="20"/>
                <w:szCs w:val="20"/>
                <w:color w:val="auto"/>
              </w:rPr>
            </w:pPr>
            <w:r>
              <w:rPr>
                <w:rFonts w:ascii="Arial" w:cs="Arial" w:eastAsia="Arial" w:hAnsi="Arial"/>
                <w:sz w:val="18"/>
                <w:szCs w:val="18"/>
                <w:color w:val="auto"/>
              </w:rPr>
              <w:t>International equity securities</w:t>
            </w:r>
          </w:p>
        </w:tc>
        <w:tc>
          <w:tcPr>
            <w:tcW w:w="284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7,565</w:t>
            </w:r>
          </w:p>
        </w:tc>
        <w:tc>
          <w:tcPr>
            <w:tcW w:w="158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5,644</w:t>
            </w:r>
          </w:p>
        </w:tc>
        <w:tc>
          <w:tcPr>
            <w:tcW w:w="1100" w:type="dxa"/>
            <w:vAlign w:val="bottom"/>
            <w:shd w:val="clear" w:color="auto" w:fill="CCED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Emerging equity securities</w:t>
            </w:r>
          </w:p>
        </w:tc>
        <w:tc>
          <w:tcPr>
            <w:tcW w:w="284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6,263</w:t>
            </w:r>
          </w:p>
        </w:tc>
        <w:tc>
          <w:tcPr>
            <w:tcW w:w="15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160" w:type="dxa"/>
            <w:vAlign w:val="bottom"/>
            <w:shd w:val="clear" w:color="auto" w:fill="CCEDFF"/>
          </w:tcPr>
          <w:p>
            <w:pPr>
              <w:ind w:left="20"/>
              <w:spacing w:after="0"/>
              <w:rPr>
                <w:sz w:val="20"/>
                <w:szCs w:val="20"/>
                <w:color w:val="auto"/>
              </w:rPr>
            </w:pPr>
            <w:r>
              <w:rPr>
                <w:rFonts w:ascii="Arial" w:cs="Arial" w:eastAsia="Arial" w:hAnsi="Arial"/>
                <w:sz w:val="18"/>
                <w:szCs w:val="18"/>
                <w:color w:val="auto"/>
              </w:rPr>
              <w:t>Debt securities</w:t>
            </w:r>
          </w:p>
        </w:tc>
        <w:tc>
          <w:tcPr>
            <w:tcW w:w="284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78,740</w:t>
            </w:r>
          </w:p>
        </w:tc>
        <w:tc>
          <w:tcPr>
            <w:tcW w:w="158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52,304</w:t>
            </w:r>
          </w:p>
        </w:tc>
        <w:tc>
          <w:tcPr>
            <w:tcW w:w="1100" w:type="dxa"/>
            <w:vAlign w:val="bottom"/>
            <w:shd w:val="clear" w:color="auto" w:fill="CCED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Hedge fund investments</w:t>
            </w:r>
          </w:p>
        </w:tc>
        <w:tc>
          <w:tcPr>
            <w:tcW w:w="28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24,441</w:t>
            </w:r>
          </w:p>
        </w:tc>
        <w:tc>
          <w:tcPr>
            <w:tcW w:w="15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16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were no purchases, sales or transfers of assets classified as Level 3 in 2024 or 2023. Pension assets that are excluded from the fair value hierarchy and are measured at net asset value or "NAV", include five investments:</w:t>
      </w:r>
    </w:p>
    <w:p>
      <w:pPr>
        <w:spacing w:after="0" w:line="166" w:lineRule="exact"/>
        <w:rPr>
          <w:sz w:val="20"/>
          <w:szCs w:val="20"/>
          <w:color w:val="auto"/>
        </w:rPr>
      </w:pPr>
    </w:p>
    <w:p>
      <w:pPr>
        <w:jc w:val="both"/>
        <w:ind w:left="960" w:right="20" w:hanging="354"/>
        <w:spacing w:after="0" w:line="261"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U.S. small cap value equity common/collective fund for which fund prices are not publicly available. This investment was completely liquidated during 2024, the balance was $2.3 million as of September 24, 2023. We can redeem this fund on a monthly basis.</w:t>
      </w:r>
    </w:p>
    <w:p>
      <w:pPr>
        <w:spacing w:after="0" w:line="53" w:lineRule="exact"/>
        <w:rPr>
          <w:rFonts w:ascii="Arial" w:cs="Arial" w:eastAsia="Arial" w:hAnsi="Arial"/>
          <w:sz w:val="18"/>
          <w:szCs w:val="18"/>
          <w:color w:val="auto"/>
        </w:rPr>
      </w:pPr>
    </w:p>
    <w:p>
      <w:pPr>
        <w:jc w:val="both"/>
        <w:ind w:left="960" w:right="20" w:hanging="354"/>
        <w:spacing w:after="0" w:line="252"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Global equity long/short common/collective hedge fund-of-funds for which fund prices are established on a monthly basis. The investment was completely liquidated during 2024, the balance was $11.7 million as of September 24, 2023. We can redeem up to 90% of our investment in this fund within 90-120 days of notice with the remaining distributed following completion of the audit of the Fund's financial statements for the year.</w:t>
      </w:r>
    </w:p>
    <w:p>
      <w:pPr>
        <w:spacing w:after="0" w:line="62" w:lineRule="exact"/>
        <w:rPr>
          <w:rFonts w:ascii="Arial" w:cs="Arial" w:eastAsia="Arial" w:hAnsi="Arial"/>
          <w:sz w:val="18"/>
          <w:szCs w:val="18"/>
          <w:color w:val="auto"/>
        </w:rPr>
      </w:pPr>
    </w:p>
    <w:p>
      <w:pPr>
        <w:jc w:val="both"/>
        <w:ind w:left="960" w:right="20" w:hanging="354"/>
        <w:spacing w:after="0" w:line="261"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Global equity long/short common/collective hedge fund-of-funds for which fund prices are established on a monthly basis. The balance of this investment is $5.9 million and $12.7 million as of September 29, 2024 and September 24, 2023, respectively. We can redeem up to 50% of our investment in this fund twice per year.</w:t>
      </w:r>
    </w:p>
    <w:p>
      <w:pPr>
        <w:spacing w:after="0" w:line="53" w:lineRule="exact"/>
        <w:rPr>
          <w:rFonts w:ascii="Arial" w:cs="Arial" w:eastAsia="Arial" w:hAnsi="Arial"/>
          <w:sz w:val="18"/>
          <w:szCs w:val="18"/>
          <w:color w:val="auto"/>
        </w:rPr>
      </w:pPr>
    </w:p>
    <w:p>
      <w:pPr>
        <w:ind w:left="960" w:right="20" w:hanging="354"/>
        <w:spacing w:after="0" w:line="271"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Global long common/collective fund for which funds prices are not publicly available. The balance of this investment is $2.5 million as of September 29, 2024. We can redeem this fund on a daily basis.</w:t>
      </w:r>
    </w:p>
    <w:p>
      <w:pPr>
        <w:spacing w:after="0" w:line="59" w:lineRule="exact"/>
        <w:rPr>
          <w:rFonts w:ascii="Arial" w:cs="Arial" w:eastAsia="Arial" w:hAnsi="Arial"/>
          <w:sz w:val="18"/>
          <w:szCs w:val="18"/>
          <w:color w:val="auto"/>
        </w:rPr>
      </w:pPr>
    </w:p>
    <w:p>
      <w:pPr>
        <w:ind w:left="960" w:right="20" w:hanging="354"/>
        <w:spacing w:after="0" w:line="271"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Global long/short common/collective fund for which funds prices are not publicly available. The balance of this investment is $2.5 million as of September 29, 2024. We can redeem this fund on a daily basis.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components of, and the changes in, Accumulated other comprehensive income (loss), net of tax:</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3000" w:type="dxa"/>
            <w:vAlign w:val="bottom"/>
            <w:tcBorders>
              <w:top w:val="single" w:sz="8" w:color="auto"/>
            </w:tcBorders>
          </w:tcPr>
          <w:p>
            <w:pPr>
              <w:jc w:val="right"/>
              <w:ind w:right="90"/>
              <w:spacing w:after="0" w:line="189" w:lineRule="exact"/>
              <w:rPr>
                <w:sz w:val="20"/>
                <w:szCs w:val="20"/>
                <w:color w:val="auto"/>
              </w:rPr>
            </w:pPr>
            <w:r>
              <w:rPr>
                <w:rFonts w:ascii="Arial" w:cs="Arial" w:eastAsia="Arial" w:hAnsi="Arial"/>
                <w:sz w:val="18"/>
                <w:szCs w:val="18"/>
                <w:color w:val="auto"/>
              </w:rPr>
              <w:t>Pension and postretirement benefit</w:t>
            </w:r>
          </w:p>
        </w:tc>
      </w:tr>
      <w:tr>
        <w:trPr>
          <w:trHeight w:val="242"/>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 of Dollars)</w:t>
            </w:r>
          </w:p>
        </w:tc>
        <w:tc>
          <w:tcPr>
            <w:tcW w:w="1200" w:type="dxa"/>
            <w:vAlign w:val="bottom"/>
            <w:tcBorders>
              <w:bottom w:val="single" w:sz="8" w:color="auto"/>
            </w:tcBorders>
          </w:tcPr>
          <w:p>
            <w:pPr>
              <w:spacing w:after="0"/>
              <w:rPr>
                <w:sz w:val="21"/>
                <w:szCs w:val="21"/>
                <w:color w:val="auto"/>
              </w:rPr>
            </w:pPr>
          </w:p>
        </w:tc>
        <w:tc>
          <w:tcPr>
            <w:tcW w:w="3000" w:type="dxa"/>
            <w:vAlign w:val="bottom"/>
            <w:tcBorders>
              <w:bottom w:val="single" w:sz="8" w:color="auto"/>
            </w:tcBorders>
          </w:tcPr>
          <w:p>
            <w:pPr>
              <w:jc w:val="right"/>
              <w:ind w:right="1270"/>
              <w:spacing w:after="0"/>
              <w:rPr>
                <w:sz w:val="20"/>
                <w:szCs w:val="20"/>
                <w:color w:val="auto"/>
              </w:rPr>
            </w:pPr>
            <w:r>
              <w:rPr>
                <w:rFonts w:ascii="Arial" w:cs="Arial" w:eastAsia="Arial" w:hAnsi="Arial"/>
                <w:sz w:val="18"/>
                <w:szCs w:val="18"/>
                <w:color w:val="auto"/>
              </w:rPr>
              <w:t>plans</w:t>
            </w:r>
          </w:p>
        </w:tc>
      </w:tr>
      <w:tr>
        <w:trPr>
          <w:trHeight w:val="224"/>
        </w:trPr>
        <w:tc>
          <w:tcPr>
            <w:tcW w:w="7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27, 2021</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42,187</w:t>
            </w:r>
          </w:p>
        </w:tc>
      </w:tr>
      <w:tr>
        <w:trPr>
          <w:trHeight w:val="223"/>
        </w:trPr>
        <w:tc>
          <w:tcPr>
            <w:tcW w:w="7040" w:type="dxa"/>
            <w:vAlign w:val="bottom"/>
          </w:tcPr>
          <w:p>
            <w:pPr>
              <w:ind w:left="20"/>
              <w:spacing w:after="0"/>
              <w:rPr>
                <w:sz w:val="20"/>
                <w:szCs w:val="20"/>
                <w:color w:val="auto"/>
              </w:rPr>
            </w:pPr>
            <w:r>
              <w:rPr>
                <w:rFonts w:ascii="Arial" w:cs="Arial" w:eastAsia="Arial" w:hAnsi="Arial"/>
                <w:sz w:val="18"/>
                <w:szCs w:val="18"/>
                <w:color w:val="auto"/>
              </w:rPr>
              <w:t>Other comprehensive loss before reclassifications</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3000" w:type="dxa"/>
            <w:vAlign w:val="bottom"/>
          </w:tcPr>
          <w:p>
            <w:pPr>
              <w:jc w:val="right"/>
              <w:spacing w:after="0"/>
              <w:rPr>
                <w:sz w:val="20"/>
                <w:szCs w:val="20"/>
                <w:color w:val="auto"/>
              </w:rPr>
            </w:pPr>
            <w:r>
              <w:rPr>
                <w:rFonts w:ascii="Arial" w:cs="Arial" w:eastAsia="Arial" w:hAnsi="Arial"/>
                <w:sz w:val="18"/>
                <w:szCs w:val="18"/>
                <w:color w:val="auto"/>
              </w:rPr>
              <w:t>(20,866)</w:t>
            </w:r>
          </w:p>
        </w:tc>
      </w:tr>
      <w:tr>
        <w:trPr>
          <w:trHeight w:val="229"/>
        </w:trPr>
        <w:tc>
          <w:tcPr>
            <w:tcW w:w="7040" w:type="dxa"/>
            <w:vAlign w:val="bottom"/>
            <w:tcBorders>
              <w:bottom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Amounts reclassified from accumulated other comprehensive income </w:t>
            </w:r>
            <w:r>
              <w:rPr>
                <w:rFonts w:ascii="Arial" w:cs="Arial" w:eastAsia="Arial" w:hAnsi="Arial"/>
                <w:sz w:val="23"/>
                <w:szCs w:val="23"/>
                <w:color w:val="auto"/>
                <w:vertAlign w:val="superscript"/>
              </w:rPr>
              <w:t>(a)(b)</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(4,668)</w:t>
            </w:r>
          </w:p>
        </w:tc>
      </w:tr>
      <w:tr>
        <w:trPr>
          <w:trHeight w:val="223"/>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current period other comprehensive income (loss), net of taxes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(25,534)</w:t>
            </w:r>
          </w:p>
        </w:tc>
      </w:tr>
      <w:tr>
        <w:trPr>
          <w:trHeight w:val="223"/>
        </w:trPr>
        <w:tc>
          <w:tcPr>
            <w:tcW w:w="7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25, 2022</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16,653</w:t>
            </w:r>
          </w:p>
        </w:tc>
      </w:tr>
      <w:tr>
        <w:trPr>
          <w:trHeight w:val="223"/>
        </w:trPr>
        <w:tc>
          <w:tcPr>
            <w:tcW w:w="7040" w:type="dxa"/>
            <w:vAlign w:val="bottom"/>
          </w:tcPr>
          <w:p>
            <w:pPr>
              <w:ind w:left="20"/>
              <w:spacing w:after="0"/>
              <w:rPr>
                <w:sz w:val="20"/>
                <w:szCs w:val="20"/>
                <w:color w:val="auto"/>
              </w:rPr>
            </w:pPr>
            <w:r>
              <w:rPr>
                <w:rFonts w:ascii="Arial" w:cs="Arial" w:eastAsia="Arial" w:hAnsi="Arial"/>
                <w:sz w:val="18"/>
                <w:szCs w:val="18"/>
                <w:color w:val="auto"/>
              </w:rPr>
              <w:t>Other comprehensive income before reclassifications</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3000" w:type="dxa"/>
            <w:vAlign w:val="bottom"/>
          </w:tcPr>
          <w:p>
            <w:pPr>
              <w:jc w:val="right"/>
              <w:spacing w:after="0"/>
              <w:rPr>
                <w:sz w:val="20"/>
                <w:szCs w:val="20"/>
                <w:color w:val="auto"/>
              </w:rPr>
            </w:pPr>
            <w:r>
              <w:rPr>
                <w:rFonts w:ascii="Arial" w:cs="Arial" w:eastAsia="Arial" w:hAnsi="Arial"/>
                <w:sz w:val="18"/>
                <w:szCs w:val="18"/>
                <w:color w:val="auto"/>
              </w:rPr>
              <w:t>10,750</w:t>
            </w:r>
          </w:p>
        </w:tc>
      </w:tr>
      <w:tr>
        <w:trPr>
          <w:trHeight w:val="229"/>
        </w:trPr>
        <w:tc>
          <w:tcPr>
            <w:tcW w:w="7040" w:type="dxa"/>
            <w:vAlign w:val="bottom"/>
            <w:tcBorders>
              <w:bottom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Amounts reclassified from accumulated other comprehensive income</w:t>
            </w:r>
            <w:r>
              <w:rPr>
                <w:rFonts w:ascii="Arial" w:cs="Arial" w:eastAsia="Arial" w:hAnsi="Arial"/>
                <w:sz w:val="23"/>
                <w:szCs w:val="23"/>
                <w:color w:val="auto"/>
                <w:vertAlign w:val="superscript"/>
              </w:rPr>
              <w:t>(a)(b)</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r>
      <w:tr>
        <w:trPr>
          <w:trHeight w:val="223"/>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current period other comprehensive income (loss), net of taxes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10,190</w:t>
            </w:r>
          </w:p>
        </w:tc>
      </w:tr>
      <w:tr>
        <w:trPr>
          <w:trHeight w:val="223"/>
        </w:trPr>
        <w:tc>
          <w:tcPr>
            <w:tcW w:w="7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24, 2023</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26,843</w:t>
            </w:r>
          </w:p>
        </w:tc>
      </w:tr>
      <w:tr>
        <w:trPr>
          <w:trHeight w:val="223"/>
        </w:trPr>
        <w:tc>
          <w:tcPr>
            <w:tcW w:w="7040" w:type="dxa"/>
            <w:vAlign w:val="bottom"/>
          </w:tcPr>
          <w:p>
            <w:pPr>
              <w:ind w:left="20"/>
              <w:spacing w:after="0"/>
              <w:rPr>
                <w:sz w:val="20"/>
                <w:szCs w:val="20"/>
                <w:color w:val="auto"/>
              </w:rPr>
            </w:pPr>
            <w:r>
              <w:rPr>
                <w:rFonts w:ascii="Arial" w:cs="Arial" w:eastAsia="Arial" w:hAnsi="Arial"/>
                <w:sz w:val="18"/>
                <w:szCs w:val="18"/>
                <w:color w:val="auto"/>
              </w:rPr>
              <w:t>Other comprehensive loss before reclassifications</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3000" w:type="dxa"/>
            <w:vAlign w:val="bottom"/>
          </w:tcPr>
          <w:p>
            <w:pPr>
              <w:jc w:val="right"/>
              <w:spacing w:after="0"/>
              <w:rPr>
                <w:sz w:val="20"/>
                <w:szCs w:val="20"/>
                <w:color w:val="auto"/>
              </w:rPr>
            </w:pPr>
            <w:r>
              <w:rPr>
                <w:rFonts w:ascii="Arial" w:cs="Arial" w:eastAsia="Arial" w:hAnsi="Arial"/>
                <w:sz w:val="18"/>
                <w:szCs w:val="18"/>
                <w:color w:val="auto"/>
              </w:rPr>
              <w:t>(3,924)</w:t>
            </w:r>
          </w:p>
        </w:tc>
      </w:tr>
      <w:tr>
        <w:trPr>
          <w:trHeight w:val="229"/>
        </w:trPr>
        <w:tc>
          <w:tcPr>
            <w:tcW w:w="7040" w:type="dxa"/>
            <w:vAlign w:val="bottom"/>
            <w:tcBorders>
              <w:bottom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Amounts reclassified from accumulated other comprehensive income</w:t>
            </w:r>
            <w:r>
              <w:rPr>
                <w:rFonts w:ascii="Arial" w:cs="Arial" w:eastAsia="Arial" w:hAnsi="Arial"/>
                <w:sz w:val="23"/>
                <w:szCs w:val="23"/>
                <w:color w:val="auto"/>
                <w:vertAlign w:val="superscript"/>
              </w:rPr>
              <w:t>(a)(b)(c)</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(2,999)</w:t>
            </w:r>
          </w:p>
        </w:tc>
      </w:tr>
      <w:tr>
        <w:trPr>
          <w:trHeight w:val="223"/>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current period other comprehensive income (loss), net of taxes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(6,923)</w:t>
            </w:r>
          </w:p>
        </w:tc>
      </w:tr>
      <w:tr>
        <w:trPr>
          <w:trHeight w:val="223"/>
        </w:trPr>
        <w:tc>
          <w:tcPr>
            <w:tcW w:w="7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29, 2024</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19,920</w:t>
            </w:r>
          </w:p>
        </w:tc>
      </w:tr>
    </w:tbl>
    <w:p>
      <w:pPr>
        <w:spacing w:after="0" w:line="261" w:lineRule="exact"/>
        <w:rPr>
          <w:sz w:val="20"/>
          <w:szCs w:val="20"/>
          <w:color w:val="auto"/>
        </w:rPr>
      </w:pPr>
    </w:p>
    <w:p>
      <w:pPr>
        <w:ind w:firstLine="8"/>
        <w:spacing w:after="0" w:line="212" w:lineRule="auto"/>
        <w:tabs>
          <w:tab w:leader="none" w:pos="189" w:val="left"/>
        </w:tabs>
        <w:numPr>
          <w:ilvl w:val="0"/>
          <w:numId w:val="25"/>
        </w:numPr>
        <w:rPr>
          <w:rFonts w:ascii="Arial" w:cs="Arial" w:eastAsia="Arial" w:hAnsi="Arial"/>
          <w:sz w:val="22"/>
          <w:szCs w:val="22"/>
          <w:color w:val="auto"/>
          <w:vertAlign w:val="superscript"/>
        </w:rPr>
      </w:pPr>
      <w:r>
        <w:rPr>
          <w:rFonts w:ascii="Arial" w:cs="Arial" w:eastAsia="Arial" w:hAnsi="Arial"/>
          <w:sz w:val="14"/>
          <w:szCs w:val="14"/>
          <w:color w:val="auto"/>
        </w:rPr>
        <w:t>Accumulated other comprehensive income (loss) component represents amortization of actuarial loss and is included in the computation of net periodic benefit cost. See Note 7 - Defined Benefit Pension Plan and Note 8 - Postretirement and Postemployment Benefits.</w:t>
      </w:r>
    </w:p>
    <w:p>
      <w:pPr>
        <w:spacing w:after="0" w:line="160" w:lineRule="exact"/>
        <w:rPr>
          <w:rFonts w:ascii="Arial" w:cs="Arial" w:eastAsia="Arial" w:hAnsi="Arial"/>
          <w:sz w:val="22"/>
          <w:szCs w:val="22"/>
          <w:color w:val="auto"/>
          <w:vertAlign w:val="superscript"/>
        </w:rPr>
      </w:pPr>
    </w:p>
    <w:p>
      <w:pPr>
        <w:ind w:firstLine="8"/>
        <w:spacing w:after="0" w:line="212" w:lineRule="auto"/>
        <w:tabs>
          <w:tab w:leader="none" w:pos="189" w:val="left"/>
        </w:tabs>
        <w:numPr>
          <w:ilvl w:val="0"/>
          <w:numId w:val="25"/>
        </w:numPr>
        <w:rPr>
          <w:rFonts w:ascii="Arial" w:cs="Arial" w:eastAsia="Arial" w:hAnsi="Arial"/>
          <w:sz w:val="22"/>
          <w:szCs w:val="22"/>
          <w:color w:val="auto"/>
          <w:vertAlign w:val="superscript"/>
        </w:rPr>
      </w:pPr>
      <w:r>
        <w:rPr>
          <w:rFonts w:ascii="Arial" w:cs="Arial" w:eastAsia="Arial" w:hAnsi="Arial"/>
          <w:sz w:val="14"/>
          <w:szCs w:val="14"/>
          <w:color w:val="auto"/>
        </w:rPr>
        <w:t>Amounts reclassified from accumulated other comprehensive income (loss) are recorded net of tax impacts of $0.2 million, $0.2 million, $2.0 million for the years ended September 29, 2024, September 24, 2023, and September 25, 2022, respectively.</w:t>
      </w:r>
    </w:p>
    <w:p>
      <w:pPr>
        <w:spacing w:after="0" w:line="160" w:lineRule="exact"/>
        <w:rPr>
          <w:rFonts w:ascii="Arial" w:cs="Arial" w:eastAsia="Arial" w:hAnsi="Arial"/>
          <w:sz w:val="22"/>
          <w:szCs w:val="22"/>
          <w:color w:val="auto"/>
          <w:vertAlign w:val="superscript"/>
        </w:rPr>
      </w:pPr>
    </w:p>
    <w:p>
      <w:pPr>
        <w:ind w:firstLine="8"/>
        <w:spacing w:after="0" w:line="231" w:lineRule="auto"/>
        <w:tabs>
          <w:tab w:leader="none" w:pos="169" w:val="left"/>
        </w:tabs>
        <w:numPr>
          <w:ilvl w:val="0"/>
          <w:numId w:val="25"/>
        </w:numPr>
        <w:rPr>
          <w:rFonts w:ascii="Arial" w:cs="Arial" w:eastAsia="Arial" w:hAnsi="Arial"/>
          <w:sz w:val="20"/>
          <w:szCs w:val="20"/>
          <w:color w:val="auto"/>
          <w:vertAlign w:val="superscript"/>
        </w:rPr>
      </w:pPr>
      <w:r>
        <w:rPr>
          <w:rFonts w:ascii="Arial" w:cs="Arial" w:eastAsia="Arial" w:hAnsi="Arial"/>
          <w:sz w:val="13"/>
          <w:szCs w:val="13"/>
          <w:color w:val="auto"/>
        </w:rPr>
        <w:t>Amounts reclassified from accumulated other comprehensive income (loss) include a pension settlement gain of $2.4 million for the year ended September 29, 2024. See Note 7 - Defined Benefit Pension Plan.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Based on our forecast at September 29, 2024, we expect to make no contributions to our pension trust in 2025.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anticipate future benefit payments to be paid from the pension trust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(Thousands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40" w:type="dxa"/>
            <w:vAlign w:val="bottom"/>
            <w:shd w:val="clear" w:color="auto" w:fill="CCEDFF"/>
          </w:tcPr>
          <w:p>
            <w:pPr>
              <w:ind w:left="20"/>
              <w:spacing w:after="0"/>
              <w:rPr>
                <w:sz w:val="20"/>
                <w:szCs w:val="20"/>
                <w:color w:val="auto"/>
              </w:rPr>
            </w:pPr>
            <w:r>
              <w:rPr>
                <w:rFonts w:ascii="Arial" w:cs="Arial" w:eastAsia="Arial" w:hAnsi="Arial"/>
                <w:sz w:val="18"/>
                <w:szCs w:val="18"/>
                <w:color w:val="auto"/>
              </w:rPr>
              <w:t>2025</w:t>
            </w:r>
          </w:p>
        </w:tc>
        <w:tc>
          <w:tcPr>
            <w:tcW w:w="5500" w:type="dxa"/>
            <w:vAlign w:val="bottom"/>
            <w:shd w:val="clear" w:color="auto" w:fill="CCEDFF"/>
          </w:tcPr>
          <w:p>
            <w:pPr>
              <w:jc w:val="right"/>
              <w:spacing w:after="0"/>
              <w:rPr>
                <w:sz w:val="20"/>
                <w:szCs w:val="20"/>
                <w:color w:val="auto"/>
              </w:rPr>
            </w:pPr>
            <w:r>
              <w:rPr>
                <w:rFonts w:ascii="Arial" w:cs="Arial" w:eastAsia="Arial" w:hAnsi="Arial"/>
                <w:sz w:val="18"/>
                <w:szCs w:val="18"/>
                <w:color w:val="auto"/>
              </w:rPr>
              <w:t>15,591</w:t>
            </w: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2026</w:t>
            </w:r>
          </w:p>
        </w:tc>
        <w:tc>
          <w:tcPr>
            <w:tcW w:w="5500" w:type="dxa"/>
            <w:vAlign w:val="bottom"/>
          </w:tcPr>
          <w:p>
            <w:pPr>
              <w:jc w:val="right"/>
              <w:spacing w:after="0"/>
              <w:rPr>
                <w:sz w:val="20"/>
                <w:szCs w:val="20"/>
                <w:color w:val="auto"/>
              </w:rPr>
            </w:pPr>
            <w:r>
              <w:rPr>
                <w:rFonts w:ascii="Arial" w:cs="Arial" w:eastAsia="Arial" w:hAnsi="Arial"/>
                <w:sz w:val="18"/>
                <w:szCs w:val="18"/>
                <w:color w:val="auto"/>
              </w:rPr>
              <w:t>14,523</w:t>
            </w:r>
          </w:p>
        </w:tc>
      </w:tr>
      <w:tr>
        <w:trPr>
          <w:trHeight w:val="230"/>
        </w:trPr>
        <w:tc>
          <w:tcPr>
            <w:tcW w:w="5740" w:type="dxa"/>
            <w:vAlign w:val="bottom"/>
            <w:shd w:val="clear" w:color="auto" w:fill="CCEDFF"/>
          </w:tcPr>
          <w:p>
            <w:pPr>
              <w:ind w:left="20"/>
              <w:spacing w:after="0"/>
              <w:rPr>
                <w:sz w:val="20"/>
                <w:szCs w:val="20"/>
                <w:color w:val="auto"/>
              </w:rPr>
            </w:pPr>
            <w:r>
              <w:rPr>
                <w:rFonts w:ascii="Arial" w:cs="Arial" w:eastAsia="Arial" w:hAnsi="Arial"/>
                <w:sz w:val="18"/>
                <w:szCs w:val="18"/>
                <w:color w:val="auto"/>
              </w:rPr>
              <w:t>2027</w:t>
            </w:r>
          </w:p>
        </w:tc>
        <w:tc>
          <w:tcPr>
            <w:tcW w:w="5500" w:type="dxa"/>
            <w:vAlign w:val="bottom"/>
            <w:shd w:val="clear" w:color="auto" w:fill="CCEDFF"/>
          </w:tcPr>
          <w:p>
            <w:pPr>
              <w:jc w:val="right"/>
              <w:spacing w:after="0"/>
              <w:rPr>
                <w:sz w:val="20"/>
                <w:szCs w:val="20"/>
                <w:color w:val="auto"/>
              </w:rPr>
            </w:pPr>
            <w:r>
              <w:rPr>
                <w:rFonts w:ascii="Arial" w:cs="Arial" w:eastAsia="Arial" w:hAnsi="Arial"/>
                <w:sz w:val="18"/>
                <w:szCs w:val="18"/>
                <w:color w:val="auto"/>
              </w:rPr>
              <w:t>14,405</w:t>
            </w: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2028</w:t>
            </w:r>
          </w:p>
        </w:tc>
        <w:tc>
          <w:tcPr>
            <w:tcW w:w="5500" w:type="dxa"/>
            <w:vAlign w:val="bottom"/>
          </w:tcPr>
          <w:p>
            <w:pPr>
              <w:jc w:val="right"/>
              <w:spacing w:after="0"/>
              <w:rPr>
                <w:sz w:val="20"/>
                <w:szCs w:val="20"/>
                <w:color w:val="auto"/>
              </w:rPr>
            </w:pPr>
            <w:r>
              <w:rPr>
                <w:rFonts w:ascii="Arial" w:cs="Arial" w:eastAsia="Arial" w:hAnsi="Arial"/>
                <w:sz w:val="18"/>
                <w:szCs w:val="18"/>
                <w:color w:val="auto"/>
              </w:rPr>
              <w:t>14,262</w:t>
            </w:r>
          </w:p>
        </w:tc>
      </w:tr>
      <w:tr>
        <w:trPr>
          <w:trHeight w:val="229"/>
        </w:trPr>
        <w:tc>
          <w:tcPr>
            <w:tcW w:w="5740" w:type="dxa"/>
            <w:vAlign w:val="bottom"/>
            <w:shd w:val="clear" w:color="auto" w:fill="CCEDFF"/>
          </w:tcPr>
          <w:p>
            <w:pPr>
              <w:ind w:left="20"/>
              <w:spacing w:after="0"/>
              <w:rPr>
                <w:sz w:val="20"/>
                <w:szCs w:val="20"/>
                <w:color w:val="auto"/>
              </w:rPr>
            </w:pPr>
            <w:r>
              <w:rPr>
                <w:rFonts w:ascii="Arial" w:cs="Arial" w:eastAsia="Arial" w:hAnsi="Arial"/>
                <w:sz w:val="18"/>
                <w:szCs w:val="18"/>
                <w:color w:val="auto"/>
              </w:rPr>
              <w:t>2029</w:t>
            </w:r>
          </w:p>
        </w:tc>
        <w:tc>
          <w:tcPr>
            <w:tcW w:w="5500" w:type="dxa"/>
            <w:vAlign w:val="bottom"/>
            <w:shd w:val="clear" w:color="auto" w:fill="CCEDFF"/>
          </w:tcPr>
          <w:p>
            <w:pPr>
              <w:jc w:val="right"/>
              <w:spacing w:after="0"/>
              <w:rPr>
                <w:sz w:val="20"/>
                <w:szCs w:val="20"/>
                <w:color w:val="auto"/>
              </w:rPr>
            </w:pPr>
            <w:r>
              <w:rPr>
                <w:rFonts w:ascii="Arial" w:cs="Arial" w:eastAsia="Arial" w:hAnsi="Arial"/>
                <w:sz w:val="18"/>
                <w:szCs w:val="18"/>
                <w:color w:val="auto"/>
              </w:rPr>
              <w:t>14,096</w:t>
            </w:r>
          </w:p>
        </w:tc>
      </w:tr>
      <w:tr>
        <w:trPr>
          <w:trHeight w:val="230"/>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2030-2033</w:t>
            </w:r>
          </w:p>
        </w:tc>
        <w:tc>
          <w:tcPr>
            <w:tcW w:w="5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66,122</w:t>
            </w:r>
          </w:p>
        </w:tc>
      </w:tr>
      <w:tr>
        <w:trPr>
          <w:trHeight w:val="20"/>
        </w:trPr>
        <w:tc>
          <w:tcPr>
            <w:tcW w:w="5740" w:type="dxa"/>
            <w:vAlign w:val="bottom"/>
            <w:tcBorders>
              <w:bottom w:val="single" w:sz="8" w:color="auto"/>
            </w:tcBorders>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Plans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are the plan sponsor for other funded and unfunded defined benefit pension plans that are not considered material. The net benefit obligation for these plans are $0.6 million and $0.6 million at September 29, 2024 and September 24, 2023, respectively.</w:t>
      </w:r>
    </w:p>
    <w:p>
      <w:pPr>
        <w:spacing w:after="0" w:line="112" w:lineRule="exact"/>
        <w:rPr>
          <w:sz w:val="20"/>
          <w:szCs w:val="20"/>
          <w:color w:val="auto"/>
        </w:rPr>
      </w:pPr>
    </w:p>
    <w:p>
      <w:pPr>
        <w:ind w:left="360" w:hanging="352"/>
        <w:spacing w:after="0"/>
        <w:tabs>
          <w:tab w:leader="none" w:pos="3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POSTRETIREMENT AND POSTEMPLOYMENT BENEFITS</w:t>
      </w:r>
    </w:p>
    <w:p>
      <w:pPr>
        <w:spacing w:after="0" w:line="19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provide retiree medical and life insurance benefits under postretirement plans at several of our operating locations. The level and adjustment of participant contributions vary depending on the specific plan. Our liability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and related expense for benefits under the postretirement plans are recorded over the service period of active employees based upon annual actuarial calculations. We accrue postemployment disability benefits when it becomes probable that such benefits will be paid and when sufficient information exists to make reasonable estimates of the amounts to be paid.</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year ended September 29, 2024, the Company completed the outsourcing of certain printing operations, which ceased postretirement medical benefits for a group of employees. The Company recognized a non-cash curtailment gain of $1.2 million which is reflected within "Curtailment/Settlement gains" on the Consolidated Statements of Income (Loss) and Comprehensive Income (Loss).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net periodic postretirement benefit cost (benefit) components for our postretirement plans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6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29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2024</w:t>
            </w:r>
          </w:p>
        </w:tc>
        <w:tc>
          <w:tcPr>
            <w:tcW w:w="15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2022</w:t>
            </w:r>
          </w:p>
        </w:tc>
      </w:tr>
      <w:tr>
        <w:trPr>
          <w:trHeight w:val="250"/>
        </w:trPr>
        <w:tc>
          <w:tcPr>
            <w:tcW w:w="564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 for benefits earned during the year</w:t>
            </w:r>
          </w:p>
        </w:tc>
        <w:tc>
          <w:tcPr>
            <w:tcW w:w="29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50</w:t>
            </w:r>
          </w:p>
        </w:tc>
        <w:tc>
          <w:tcPr>
            <w:tcW w:w="15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Interest cost on projected benefit obligation</w:t>
            </w:r>
          </w:p>
        </w:tc>
        <w:tc>
          <w:tcPr>
            <w:tcW w:w="2920" w:type="dxa"/>
            <w:vAlign w:val="bottom"/>
          </w:tcPr>
          <w:p>
            <w:pPr>
              <w:jc w:val="right"/>
              <w:ind w:right="470"/>
              <w:spacing w:after="0"/>
              <w:rPr>
                <w:sz w:val="20"/>
                <w:szCs w:val="20"/>
                <w:color w:val="auto"/>
              </w:rPr>
            </w:pPr>
            <w:r>
              <w:rPr>
                <w:rFonts w:ascii="Arial" w:cs="Arial" w:eastAsia="Arial" w:hAnsi="Arial"/>
                <w:sz w:val="18"/>
                <w:szCs w:val="18"/>
                <w:color w:val="auto"/>
              </w:rPr>
              <w:t>596</w:t>
            </w:r>
          </w:p>
        </w:tc>
        <w:tc>
          <w:tcPr>
            <w:tcW w:w="1580" w:type="dxa"/>
            <w:vAlign w:val="bottom"/>
          </w:tcPr>
          <w:p>
            <w:pPr>
              <w:jc w:val="right"/>
              <w:ind w:right="470"/>
              <w:spacing w:after="0"/>
              <w:rPr>
                <w:sz w:val="20"/>
                <w:szCs w:val="20"/>
                <w:color w:val="auto"/>
              </w:rPr>
            </w:pPr>
            <w:r>
              <w:rPr>
                <w:rFonts w:ascii="Arial" w:cs="Arial" w:eastAsia="Arial" w:hAnsi="Arial"/>
                <w:sz w:val="18"/>
                <w:szCs w:val="18"/>
                <w:color w:val="auto"/>
              </w:rPr>
              <w:t>598</w:t>
            </w:r>
          </w:p>
        </w:tc>
        <w:tc>
          <w:tcPr>
            <w:tcW w:w="1100" w:type="dxa"/>
            <w:vAlign w:val="bottom"/>
          </w:tcPr>
          <w:p>
            <w:pPr>
              <w:jc w:val="right"/>
              <w:spacing w:after="0"/>
              <w:rPr>
                <w:sz w:val="20"/>
                <w:szCs w:val="20"/>
                <w:color w:val="auto"/>
              </w:rPr>
            </w:pPr>
            <w:r>
              <w:rPr>
                <w:rFonts w:ascii="Arial" w:cs="Arial" w:eastAsia="Arial" w:hAnsi="Arial"/>
                <w:sz w:val="18"/>
                <w:szCs w:val="18"/>
                <w:color w:val="auto"/>
              </w:rPr>
              <w:t>340</w:t>
            </w: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9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(1,279)</w:t>
            </w:r>
          </w:p>
        </w:tc>
        <w:tc>
          <w:tcPr>
            <w:tcW w:w="15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(1,182)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Amortization of net actuarial gain</w:t>
            </w:r>
          </w:p>
        </w:tc>
        <w:tc>
          <w:tcPr>
            <w:tcW w:w="2920" w:type="dxa"/>
            <w:vAlign w:val="bottom"/>
          </w:tcPr>
          <w:p>
            <w:pPr>
              <w:jc w:val="right"/>
              <w:ind w:right="410"/>
              <w:spacing w:after="0"/>
              <w:rPr>
                <w:sz w:val="20"/>
                <w:szCs w:val="20"/>
                <w:color w:val="auto"/>
              </w:rPr>
            </w:pPr>
            <w:r>
              <w:rPr>
                <w:rFonts w:ascii="Arial" w:cs="Arial" w:eastAsia="Arial" w:hAnsi="Arial"/>
                <w:sz w:val="18"/>
                <w:szCs w:val="18"/>
                <w:color w:val="auto"/>
              </w:rPr>
              <w:t>(1,234)</w:t>
            </w:r>
          </w:p>
        </w:tc>
        <w:tc>
          <w:tcPr>
            <w:tcW w:w="1580" w:type="dxa"/>
            <w:vAlign w:val="bottom"/>
          </w:tcPr>
          <w:p>
            <w:pPr>
              <w:jc w:val="right"/>
              <w:ind w:right="410"/>
              <w:spacing w:after="0"/>
              <w:rPr>
                <w:sz w:val="20"/>
                <w:szCs w:val="20"/>
                <w:color w:val="auto"/>
              </w:rPr>
            </w:pPr>
            <w:r>
              <w:rPr>
                <w:rFonts w:ascii="Arial" w:cs="Arial" w:eastAsia="Arial" w:hAnsi="Arial"/>
                <w:sz w:val="18"/>
                <w:szCs w:val="18"/>
                <w:color w:val="auto"/>
              </w:rPr>
              <w:t>(1,014)</w:t>
            </w:r>
          </w:p>
        </w:tc>
        <w:tc>
          <w:tcPr>
            <w:tcW w:w="1100" w:type="dxa"/>
            <w:vAlign w:val="bottom"/>
          </w:tcPr>
          <w:p>
            <w:pPr>
              <w:jc w:val="right"/>
              <w:spacing w:after="0"/>
              <w:rPr>
                <w:sz w:val="20"/>
                <w:szCs w:val="20"/>
                <w:color w:val="auto"/>
              </w:rPr>
            </w:pPr>
            <w:r>
              <w:rPr>
                <w:rFonts w:ascii="Arial" w:cs="Arial" w:eastAsia="Arial" w:hAnsi="Arial"/>
                <w:sz w:val="18"/>
                <w:szCs w:val="18"/>
                <w:color w:val="auto"/>
              </w:rPr>
              <w:t>(994)</w:t>
            </w: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prior service benefit</w:t>
            </w:r>
          </w:p>
        </w:tc>
        <w:tc>
          <w:tcPr>
            <w:tcW w:w="29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(375)</w:t>
            </w:r>
          </w:p>
        </w:tc>
        <w:tc>
          <w:tcPr>
            <w:tcW w:w="15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(647)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r>
      <w:tr>
        <w:trPr>
          <w:trHeight w:val="230"/>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Curtailment gain</w:t>
            </w:r>
          </w:p>
        </w:tc>
        <w:tc>
          <w:tcPr>
            <w:tcW w:w="2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(1,184)</w:t>
            </w:r>
          </w:p>
        </w:tc>
        <w:tc>
          <w:tcPr>
            <w:tcW w:w="15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periodic postretirement benefit</w:t>
            </w:r>
          </w:p>
        </w:tc>
        <w:tc>
          <w:tcPr>
            <w:tcW w:w="29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(3,426)</w:t>
            </w:r>
          </w:p>
        </w:tc>
        <w:tc>
          <w:tcPr>
            <w:tcW w:w="158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(2,177)</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(2,246)</w:t>
            </w:r>
          </w:p>
        </w:tc>
      </w:tr>
      <w:tr>
        <w:trPr>
          <w:trHeight w:val="20"/>
        </w:trPr>
        <w:tc>
          <w:tcPr>
            <w:tcW w:w="5640" w:type="dxa"/>
            <w:vAlign w:val="bottom"/>
            <w:tcBorders>
              <w:top w:val="single" w:sz="8" w:color="CCEEFF"/>
              <w:bottom w:val="single" w:sz="8" w:color="auto"/>
            </w:tcBorders>
          </w:tcPr>
          <w:p>
            <w:pPr>
              <w:spacing w:after="0" w:line="20" w:lineRule="exact"/>
              <w:rPr>
                <w:sz w:val="1"/>
                <w:szCs w:val="1"/>
                <w:color w:val="auto"/>
              </w:rPr>
            </w:pPr>
          </w:p>
        </w:tc>
        <w:tc>
          <w:tcPr>
            <w:tcW w:w="29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Changes in projected benefit obligations (which approximates the accumulated benefit obligation at each period end) and plan assets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2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2024</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250"/>
        </w:trPr>
        <w:tc>
          <w:tcPr>
            <w:tcW w:w="76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30"/>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obligation, beginning of year</w:t>
            </w:r>
          </w:p>
        </w:tc>
        <w:tc>
          <w:tcPr>
            <w:tcW w:w="2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11,252</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12,287</w:t>
            </w: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2240" w:type="dxa"/>
            <w:vAlign w:val="bottom"/>
          </w:tcPr>
          <w:p>
            <w:pPr>
              <w:jc w:val="right"/>
              <w:ind w:right="190"/>
              <w:spacing w:after="0"/>
              <w:rPr>
                <w:sz w:val="20"/>
                <w:szCs w:val="20"/>
                <w:color w:val="auto"/>
              </w:rPr>
            </w:pPr>
            <w:r>
              <w:rPr>
                <w:rFonts w:ascii="Arial" w:cs="Arial" w:eastAsia="Arial" w:hAnsi="Arial"/>
                <w:sz w:val="18"/>
                <w:szCs w:val="18"/>
                <w:color w:val="auto"/>
              </w:rPr>
              <w:t>50</w:t>
            </w:r>
          </w:p>
        </w:tc>
        <w:tc>
          <w:tcPr>
            <w:tcW w:w="13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2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596</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Actuarial (gain) loss</w:t>
            </w:r>
          </w:p>
        </w:tc>
        <w:tc>
          <w:tcPr>
            <w:tcW w:w="2240" w:type="dxa"/>
            <w:vAlign w:val="bottom"/>
          </w:tcPr>
          <w:p>
            <w:pPr>
              <w:jc w:val="right"/>
              <w:ind w:right="190"/>
              <w:spacing w:after="0"/>
              <w:rPr>
                <w:sz w:val="20"/>
                <w:szCs w:val="20"/>
                <w:color w:val="auto"/>
              </w:rPr>
            </w:pPr>
            <w:r>
              <w:rPr>
                <w:rFonts w:ascii="Arial" w:cs="Arial" w:eastAsia="Arial" w:hAnsi="Arial"/>
                <w:sz w:val="18"/>
                <w:szCs w:val="18"/>
                <w:color w:val="auto"/>
              </w:rPr>
              <w:t>1,215</w:t>
            </w:r>
          </w:p>
        </w:tc>
        <w:tc>
          <w:tcPr>
            <w:tcW w:w="1380" w:type="dxa"/>
            <w:vAlign w:val="bottom"/>
          </w:tcPr>
          <w:p>
            <w:pPr>
              <w:jc w:val="right"/>
              <w:spacing w:after="0"/>
              <w:rPr>
                <w:sz w:val="20"/>
                <w:szCs w:val="20"/>
                <w:color w:val="auto"/>
              </w:rPr>
            </w:pPr>
            <w:r>
              <w:rPr>
                <w:rFonts w:ascii="Arial" w:cs="Arial" w:eastAsia="Arial" w:hAnsi="Arial"/>
                <w:sz w:val="18"/>
                <w:szCs w:val="18"/>
                <w:color w:val="auto"/>
              </w:rPr>
              <w:t>(1,049)</w:t>
            </w:r>
          </w:p>
        </w:tc>
      </w:tr>
      <w:tr>
        <w:trPr>
          <w:trHeight w:val="230"/>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Benefits paid, net of premiums received</w:t>
            </w:r>
          </w:p>
        </w:tc>
        <w:tc>
          <w:tcPr>
            <w:tcW w:w="2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(1,712)</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r>
      <w:tr>
        <w:trPr>
          <w:trHeight w:val="230"/>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Liability (gain)/loss due to curtailment</w:t>
            </w:r>
          </w:p>
        </w:tc>
        <w:tc>
          <w:tcPr>
            <w:tcW w:w="2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(1,184)</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Benefit obligation, end of year</w:t>
            </w:r>
          </w:p>
        </w:tc>
        <w:tc>
          <w:tcPr>
            <w:tcW w:w="22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10,217</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11,252</w:t>
            </w:r>
          </w:p>
        </w:tc>
      </w:tr>
      <w:tr>
        <w:trPr>
          <w:trHeight w:val="223"/>
        </w:trPr>
        <w:tc>
          <w:tcPr>
            <w:tcW w:w="7620" w:type="dxa"/>
            <w:vAlign w:val="bottom"/>
          </w:tcPr>
          <w:p>
            <w:pPr>
              <w:ind w:left="20"/>
              <w:spacing w:after="0"/>
              <w:rPr>
                <w:sz w:val="20"/>
                <w:szCs w:val="20"/>
                <w:color w:val="auto"/>
              </w:rPr>
            </w:pPr>
            <w:r>
              <w:rPr>
                <w:rFonts w:ascii="Arial" w:cs="Arial" w:eastAsia="Arial" w:hAnsi="Arial"/>
                <w:sz w:val="18"/>
                <w:szCs w:val="18"/>
                <w:color w:val="auto"/>
              </w:rPr>
              <w:t>Fair value of plan assets, beginning of year</w:t>
            </w:r>
          </w:p>
        </w:tc>
        <w:tc>
          <w:tcPr>
            <w:tcW w:w="2240" w:type="dxa"/>
            <w:vAlign w:val="bottom"/>
          </w:tcPr>
          <w:p>
            <w:pPr>
              <w:jc w:val="right"/>
              <w:ind w:right="190"/>
              <w:spacing w:after="0"/>
              <w:rPr>
                <w:sz w:val="20"/>
                <w:szCs w:val="20"/>
                <w:color w:val="auto"/>
              </w:rPr>
            </w:pPr>
            <w:r>
              <w:rPr>
                <w:rFonts w:ascii="Arial" w:cs="Arial" w:eastAsia="Arial" w:hAnsi="Arial"/>
                <w:sz w:val="18"/>
                <w:szCs w:val="18"/>
                <w:color w:val="auto"/>
              </w:rPr>
              <w:t>25,809</w:t>
            </w:r>
          </w:p>
        </w:tc>
        <w:tc>
          <w:tcPr>
            <w:tcW w:w="1380" w:type="dxa"/>
            <w:vAlign w:val="bottom"/>
          </w:tcPr>
          <w:p>
            <w:pPr>
              <w:jc w:val="right"/>
              <w:spacing w:after="0"/>
              <w:rPr>
                <w:sz w:val="20"/>
                <w:szCs w:val="20"/>
                <w:color w:val="auto"/>
              </w:rPr>
            </w:pPr>
            <w:r>
              <w:rPr>
                <w:rFonts w:ascii="Arial" w:cs="Arial" w:eastAsia="Arial" w:hAnsi="Arial"/>
                <w:sz w:val="18"/>
                <w:szCs w:val="18"/>
                <w:color w:val="auto"/>
              </w:rPr>
              <w:t>23,903</w:t>
            </w:r>
          </w:p>
        </w:tc>
      </w:tr>
      <w:tr>
        <w:trPr>
          <w:trHeight w:val="230"/>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Actual return on plan assets</w:t>
            </w:r>
          </w:p>
        </w:tc>
        <w:tc>
          <w:tcPr>
            <w:tcW w:w="2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2,615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w:t>
            </w: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Employer contributions</w:t>
            </w:r>
          </w:p>
        </w:tc>
        <w:tc>
          <w:tcPr>
            <w:tcW w:w="2240" w:type="dxa"/>
            <w:vAlign w:val="bottom"/>
          </w:tcPr>
          <w:p>
            <w:pPr>
              <w:jc w:val="right"/>
              <w:ind w:right="190"/>
              <w:spacing w:after="0"/>
              <w:rPr>
                <w:sz w:val="20"/>
                <w:szCs w:val="20"/>
                <w:color w:val="auto"/>
              </w:rPr>
            </w:pPr>
            <w:r>
              <w:rPr>
                <w:rFonts w:ascii="Arial" w:cs="Arial" w:eastAsia="Arial" w:hAnsi="Arial"/>
                <w:sz w:val="18"/>
                <w:szCs w:val="18"/>
                <w:color w:val="auto"/>
              </w:rPr>
              <w:t>858</w:t>
            </w:r>
          </w:p>
        </w:tc>
        <w:tc>
          <w:tcPr>
            <w:tcW w:w="138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Benefits paid, net of premiums and Medicare Part D subsidies received</w:t>
            </w:r>
          </w:p>
        </w:tc>
        <w:tc>
          <w:tcPr>
            <w:tcW w:w="2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(1,712)</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r>
      <w:tr>
        <w:trPr>
          <w:trHeight w:val="230"/>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Plan participant contributions</w:t>
            </w:r>
          </w:p>
        </w:tc>
        <w:tc>
          <w:tcPr>
            <w:tcW w:w="2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7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Fair value of plan assets at measurement date</w:t>
            </w:r>
          </w:p>
        </w:tc>
        <w:tc>
          <w:tcPr>
            <w:tcW w:w="22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27,570</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25,809</w:t>
            </w:r>
          </w:p>
        </w:tc>
      </w:tr>
      <w:tr>
        <w:trPr>
          <w:trHeight w:val="223"/>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Funded status</w:t>
            </w:r>
          </w:p>
        </w:tc>
        <w:tc>
          <w:tcPr>
            <w:tcW w:w="2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17,353</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14,557</w:t>
            </w:r>
          </w:p>
        </w:tc>
      </w:tr>
      <w:tr>
        <w:trPr>
          <w:trHeight w:val="21"/>
        </w:trPr>
        <w:tc>
          <w:tcPr>
            <w:tcW w:w="76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483"/>
        </w:trPr>
        <w:tc>
          <w:tcPr>
            <w:tcW w:w="7620" w:type="dxa"/>
            <w:vAlign w:val="bottom"/>
          </w:tcPr>
          <w:p>
            <w:pPr>
              <w:spacing w:after="0"/>
              <w:rPr>
                <w:sz w:val="20"/>
                <w:szCs w:val="20"/>
                <w:color w:val="auto"/>
              </w:rPr>
            </w:pPr>
            <w:r>
              <w:rPr>
                <w:rFonts w:ascii="Arial" w:cs="Arial" w:eastAsia="Arial" w:hAnsi="Arial"/>
                <w:sz w:val="18"/>
                <w:szCs w:val="18"/>
                <w:color w:val="auto"/>
              </w:rPr>
              <w:t>Disaggregated amounts recognized in the Consolidated Balance Sheets are as follows:</w:t>
            </w:r>
          </w:p>
        </w:tc>
        <w:tc>
          <w:tcPr>
            <w:tcW w:w="22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98"/>
        </w:trPr>
        <w:tc>
          <w:tcPr>
            <w:tcW w:w="76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r>
      <w:tr>
        <w:trPr>
          <w:trHeight w:val="169"/>
        </w:trPr>
        <w:tc>
          <w:tcPr>
            <w:tcW w:w="7620" w:type="dxa"/>
            <w:vAlign w:val="bottom"/>
          </w:tcPr>
          <w:p>
            <w:pPr>
              <w:spacing w:after="0"/>
              <w:rPr>
                <w:sz w:val="14"/>
                <w:szCs w:val="14"/>
                <w:color w:val="auto"/>
              </w:rPr>
            </w:pPr>
          </w:p>
        </w:tc>
        <w:tc>
          <w:tcPr>
            <w:tcW w:w="2240" w:type="dxa"/>
            <w:vAlign w:val="bottom"/>
          </w:tcPr>
          <w:p>
            <w:pPr>
              <w:jc w:val="right"/>
              <w:ind w:right="350"/>
              <w:spacing w:after="0" w:line="169" w:lineRule="exact"/>
              <w:rPr>
                <w:sz w:val="20"/>
                <w:szCs w:val="20"/>
                <w:color w:val="auto"/>
              </w:rPr>
            </w:pPr>
            <w:r>
              <w:rPr>
                <w:rFonts w:ascii="Arial" w:cs="Arial" w:eastAsia="Arial" w:hAnsi="Arial"/>
                <w:sz w:val="18"/>
                <w:szCs w:val="18"/>
                <w:color w:val="auto"/>
              </w:rPr>
              <w:t>September 29</w:t>
            </w:r>
          </w:p>
        </w:tc>
        <w:tc>
          <w:tcPr>
            <w:tcW w:w="1380" w:type="dxa"/>
            <w:vAlign w:val="bottom"/>
          </w:tcPr>
          <w:p>
            <w:pPr>
              <w:jc w:val="right"/>
              <w:spacing w:after="0" w:line="169" w:lineRule="exact"/>
              <w:rPr>
                <w:sz w:val="20"/>
                <w:szCs w:val="20"/>
                <w:color w:val="auto"/>
              </w:rPr>
            </w:pPr>
            <w:r>
              <w:rPr>
                <w:rFonts w:ascii="Arial" w:cs="Arial" w:eastAsia="Arial" w:hAnsi="Arial"/>
                <w:sz w:val="18"/>
                <w:szCs w:val="18"/>
                <w:color w:val="auto"/>
              </w:rPr>
              <w:t>September 24</w:t>
            </w:r>
          </w:p>
        </w:tc>
      </w:tr>
      <w:tr>
        <w:trPr>
          <w:trHeight w:val="242"/>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2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2024</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251"/>
        </w:trPr>
        <w:tc>
          <w:tcPr>
            <w:tcW w:w="76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22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23,300</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21,565</w:t>
            </w: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Postretirement benefit obligations</w:t>
            </w:r>
          </w:p>
        </w:tc>
        <w:tc>
          <w:tcPr>
            <w:tcW w:w="2240" w:type="dxa"/>
            <w:vAlign w:val="bottom"/>
          </w:tcPr>
          <w:p>
            <w:pPr>
              <w:jc w:val="right"/>
              <w:ind w:right="350"/>
              <w:spacing w:after="0"/>
              <w:rPr>
                <w:sz w:val="20"/>
                <w:szCs w:val="20"/>
                <w:color w:val="auto"/>
              </w:rPr>
            </w:pPr>
            <w:r>
              <w:rPr>
                <w:rFonts w:ascii="Arial" w:cs="Arial" w:eastAsia="Arial" w:hAnsi="Arial"/>
                <w:sz w:val="18"/>
                <w:szCs w:val="18"/>
                <w:color w:val="auto"/>
              </w:rPr>
              <w:t>(5,947)</w:t>
            </w:r>
          </w:p>
        </w:tc>
        <w:tc>
          <w:tcPr>
            <w:tcW w:w="1380" w:type="dxa"/>
            <w:vAlign w:val="bottom"/>
          </w:tcPr>
          <w:p>
            <w:pPr>
              <w:jc w:val="right"/>
              <w:spacing w:after="0"/>
              <w:rPr>
                <w:sz w:val="20"/>
                <w:szCs w:val="20"/>
                <w:color w:val="auto"/>
              </w:rPr>
            </w:pPr>
            <w:r>
              <w:rPr>
                <w:rFonts w:ascii="Arial" w:cs="Arial" w:eastAsia="Arial" w:hAnsi="Arial"/>
                <w:sz w:val="18"/>
                <w:szCs w:val="18"/>
                <w:color w:val="auto"/>
              </w:rPr>
              <w:t>(7,008)</w:t>
            </w:r>
          </w:p>
        </w:tc>
      </w:tr>
      <w:tr>
        <w:trPr>
          <w:trHeight w:val="254"/>
        </w:trPr>
        <w:tc>
          <w:tcPr>
            <w:tcW w:w="7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(before income tax benefit)</w:t>
            </w:r>
          </w:p>
        </w:tc>
        <w:tc>
          <w:tcPr>
            <w:tcW w:w="224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17,556</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19,043</w:t>
            </w:r>
          </w:p>
        </w:tc>
      </w:tr>
      <w:tr>
        <w:trPr>
          <w:trHeight w:val="20"/>
        </w:trPr>
        <w:tc>
          <w:tcPr>
            <w:tcW w:w="7620" w:type="dxa"/>
            <w:vAlign w:val="bottom"/>
            <w:tcBorders>
              <w:top w:val="single" w:sz="8" w:color="CCEEFF"/>
              <w:bottom w:val="single" w:sz="8" w:color="auto"/>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883"/>
        </w:trPr>
        <w:tc>
          <w:tcPr>
            <w:tcW w:w="7620" w:type="dxa"/>
            <w:vAlign w:val="bottom"/>
          </w:tcPr>
          <w:p>
            <w:pPr>
              <w:ind w:left="5520"/>
              <w:spacing w:after="0"/>
              <w:rPr>
                <w:sz w:val="20"/>
                <w:szCs w:val="20"/>
                <w:color w:val="auto"/>
              </w:rPr>
            </w:pPr>
            <w:r>
              <w:rPr>
                <w:rFonts w:ascii="Arial" w:cs="Arial" w:eastAsia="Arial" w:hAnsi="Arial"/>
                <w:sz w:val="18"/>
                <w:szCs w:val="18"/>
                <w:color w:val="auto"/>
              </w:rPr>
              <w:t>55</w:t>
            </w:r>
          </w:p>
        </w:tc>
        <w:tc>
          <w:tcPr>
            <w:tcW w:w="22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11"/>
        </w:trPr>
        <w:tc>
          <w:tcPr>
            <w:tcW w:w="7620" w:type="dxa"/>
            <w:vAlign w:val="bottom"/>
            <w:tcBorders>
              <w:bottom w:val="single" w:sz="8" w:color="9A9A9A"/>
            </w:tcBorders>
          </w:tcPr>
          <w:p>
            <w:pPr>
              <w:spacing w:after="0"/>
              <w:rPr>
                <w:sz w:val="9"/>
                <w:szCs w:val="9"/>
                <w:color w:val="auto"/>
              </w:rPr>
            </w:pPr>
          </w:p>
        </w:tc>
        <w:tc>
          <w:tcPr>
            <w:tcW w:w="224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accumulated other comprehensive income (loss) before income tax benefit are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80" w:type="dxa"/>
            <w:vAlign w:val="bottom"/>
            <w:tcBorders>
              <w:top w:val="single" w:sz="8" w:color="auto"/>
            </w:tcBorders>
          </w:tcPr>
          <w:p>
            <w:pPr>
              <w:spacing w:after="0"/>
              <w:rPr>
                <w:sz w:val="16"/>
                <w:szCs w:val="16"/>
                <w:color w:val="auto"/>
              </w:rPr>
            </w:pPr>
          </w:p>
        </w:tc>
        <w:tc>
          <w:tcPr>
            <w:tcW w:w="4240" w:type="dxa"/>
            <w:vAlign w:val="bottom"/>
            <w:tcBorders>
              <w:top w:val="single" w:sz="8" w:color="auto"/>
            </w:tcBorders>
          </w:tcPr>
          <w:p>
            <w:pPr>
              <w:jc w:val="right"/>
              <w:ind w:right="190"/>
              <w:spacing w:after="0" w:line="189" w:lineRule="exact"/>
              <w:rPr>
                <w:sz w:val="20"/>
                <w:szCs w:val="20"/>
                <w:color w:val="auto"/>
              </w:rPr>
            </w:pPr>
            <w:r>
              <w:rPr>
                <w:rFonts w:ascii="Arial" w:cs="Arial" w:eastAsia="Arial" w:hAnsi="Arial"/>
                <w:sz w:val="18"/>
                <w:szCs w:val="18"/>
                <w:color w:val="auto"/>
              </w:rPr>
              <w:t>September 29</w:t>
            </w:r>
          </w:p>
        </w:tc>
        <w:tc>
          <w:tcPr>
            <w:tcW w:w="14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September 24</w:t>
            </w:r>
          </w:p>
        </w:tc>
      </w:tr>
      <w:tr>
        <w:trPr>
          <w:trHeight w:val="242"/>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4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2024</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251"/>
        </w:trPr>
        <w:tc>
          <w:tcPr>
            <w:tcW w:w="558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net actuarial gain</w:t>
            </w:r>
          </w:p>
        </w:tc>
        <w:tc>
          <w:tcPr>
            <w:tcW w:w="42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15,548</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16,660</w:t>
            </w:r>
          </w:p>
        </w:tc>
      </w:tr>
      <w:tr>
        <w:trPr>
          <w:trHeight w:val="230"/>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Unrecognized prior service benefit</w:t>
            </w:r>
          </w:p>
        </w:tc>
        <w:tc>
          <w:tcPr>
            <w:tcW w:w="42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2,008</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2,383</w:t>
            </w:r>
          </w:p>
        </w:tc>
      </w:tr>
      <w:tr>
        <w:trPr>
          <w:trHeight w:val="248"/>
        </w:trPr>
        <w:tc>
          <w:tcPr>
            <w:tcW w:w="5580" w:type="dxa"/>
            <w:vAlign w:val="bottom"/>
            <w:tcBorders>
              <w:bottom w:val="single" w:sz="8" w:color="auto"/>
            </w:tcBorders>
            <w:shd w:val="clear" w:color="auto" w:fill="CCEEFF"/>
          </w:tcPr>
          <w:p>
            <w:pPr>
              <w:spacing w:after="0"/>
              <w:rPr>
                <w:sz w:val="21"/>
                <w:szCs w:val="21"/>
                <w:color w:val="auto"/>
              </w:rPr>
            </w:pPr>
          </w:p>
        </w:tc>
        <w:tc>
          <w:tcPr>
            <w:tcW w:w="42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17,556</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19,043</w:t>
            </w:r>
          </w:p>
        </w:tc>
      </w:tr>
      <w:tr>
        <w:trPr>
          <w:trHeight w:val="20"/>
        </w:trPr>
        <w:tc>
          <w:tcPr>
            <w:tcW w:w="5580" w:type="dxa"/>
            <w:vAlign w:val="bottom"/>
            <w:tcBorders>
              <w:top w:val="single" w:sz="8" w:color="CCEEFF"/>
              <w:bottom w:val="single" w:sz="8" w:color="auto"/>
            </w:tcBorders>
          </w:tcPr>
          <w:p>
            <w:pPr>
              <w:spacing w:after="0" w:line="20" w:lineRule="exact"/>
              <w:rPr>
                <w:sz w:val="1"/>
                <w:szCs w:val="1"/>
                <w:color w:val="auto"/>
              </w:rPr>
            </w:pPr>
          </w:p>
        </w:tc>
        <w:tc>
          <w:tcPr>
            <w:tcW w:w="4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expect to recognize $1.2 million and $0.3 million of unrecognized net actuarial gain and unrecognized prior service benefit, respectively, in net periodic postretirement benefit in 2025</w:t>
      </w:r>
      <w:r>
        <w:rPr>
          <w:rFonts w:ascii="Arial" w:cs="Arial" w:eastAsia="Arial" w:hAnsi="Arial"/>
          <w:sz w:val="18"/>
          <w:szCs w:val="18"/>
          <w:i w:val="1"/>
          <w:iCs w:val="1"/>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Assumptions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assumptions used to determine postretirement benefit obligations are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60" w:type="dxa"/>
            <w:vAlign w:val="bottom"/>
            <w:tcBorders>
              <w:top w:val="single" w:sz="8" w:color="auto"/>
            </w:tcBorders>
          </w:tcPr>
          <w:p>
            <w:pPr>
              <w:spacing w:after="0"/>
              <w:rPr>
                <w:sz w:val="16"/>
                <w:szCs w:val="16"/>
                <w:color w:val="auto"/>
              </w:rPr>
            </w:pPr>
          </w:p>
        </w:tc>
        <w:tc>
          <w:tcPr>
            <w:tcW w:w="3960" w:type="dxa"/>
            <w:vAlign w:val="bottom"/>
            <w:tcBorders>
              <w:top w:val="single" w:sz="8" w:color="auto"/>
            </w:tcBorders>
          </w:tcPr>
          <w:p>
            <w:pPr>
              <w:ind w:left="2540"/>
              <w:spacing w:after="0" w:line="189" w:lineRule="exact"/>
              <w:rPr>
                <w:sz w:val="20"/>
                <w:szCs w:val="20"/>
                <w:color w:val="auto"/>
              </w:rPr>
            </w:pPr>
            <w:r>
              <w:rPr>
                <w:rFonts w:ascii="Arial" w:cs="Arial" w:eastAsia="Arial" w:hAnsi="Arial"/>
                <w:sz w:val="18"/>
                <w:szCs w:val="18"/>
                <w:color w:val="auto"/>
              </w:rPr>
              <w:t>September 29</w:t>
            </w:r>
          </w:p>
        </w:tc>
        <w:tc>
          <w:tcPr>
            <w:tcW w:w="1420" w:type="dxa"/>
            <w:vAlign w:val="bottom"/>
            <w:tcBorders>
              <w:top w:val="single" w:sz="8" w:color="auto"/>
            </w:tcBorders>
          </w:tcPr>
          <w:p>
            <w:pPr>
              <w:ind w:left="280"/>
              <w:spacing w:after="0" w:line="189" w:lineRule="exact"/>
              <w:rPr>
                <w:sz w:val="20"/>
                <w:szCs w:val="20"/>
                <w:color w:val="auto"/>
              </w:rPr>
            </w:pPr>
            <w:r>
              <w:rPr>
                <w:rFonts w:ascii="Arial" w:cs="Arial" w:eastAsia="Arial" w:hAnsi="Arial"/>
                <w:sz w:val="18"/>
                <w:szCs w:val="18"/>
                <w:color w:val="auto"/>
                <w:w w:val="99"/>
              </w:rPr>
              <w:t>September 24</w:t>
            </w:r>
          </w:p>
        </w:tc>
      </w:tr>
      <w:tr>
        <w:trPr>
          <w:trHeight w:val="242"/>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(Percent)</w:t>
            </w:r>
          </w:p>
        </w:tc>
        <w:tc>
          <w:tcPr>
            <w:tcW w:w="3960" w:type="dxa"/>
            <w:vAlign w:val="bottom"/>
            <w:tcBorders>
              <w:bottom w:val="single" w:sz="8" w:color="auto"/>
            </w:tcBorders>
          </w:tcPr>
          <w:p>
            <w:pPr>
              <w:jc w:val="center"/>
              <w:ind w:left="2910"/>
              <w:spacing w:after="0"/>
              <w:rPr>
                <w:sz w:val="20"/>
                <w:szCs w:val="20"/>
                <w:color w:val="auto"/>
              </w:rPr>
            </w:pPr>
            <w:r>
              <w:rPr>
                <w:rFonts w:ascii="Arial" w:cs="Arial" w:eastAsia="Arial" w:hAnsi="Arial"/>
                <w:sz w:val="18"/>
                <w:szCs w:val="18"/>
                <w:color w:val="auto"/>
                <w:w w:val="99"/>
              </w:rPr>
              <w:t>2024</w:t>
            </w:r>
          </w:p>
        </w:tc>
        <w:tc>
          <w:tcPr>
            <w:tcW w:w="1420" w:type="dxa"/>
            <w:vAlign w:val="bottom"/>
            <w:tcBorders>
              <w:bottom w:val="single" w:sz="8" w:color="auto"/>
            </w:tcBorders>
          </w:tcPr>
          <w:p>
            <w:pPr>
              <w:jc w:val="center"/>
              <w:ind w:left="890"/>
              <w:spacing w:after="0"/>
              <w:rPr>
                <w:sz w:val="20"/>
                <w:szCs w:val="20"/>
                <w:color w:val="auto"/>
              </w:rPr>
            </w:pPr>
            <w:r>
              <w:rPr>
                <w:rFonts w:ascii="Arial" w:cs="Arial" w:eastAsia="Arial" w:hAnsi="Arial"/>
                <w:sz w:val="18"/>
                <w:szCs w:val="18"/>
                <w:color w:val="auto"/>
                <w:w w:val="99"/>
              </w:rPr>
              <w:t>2023</w:t>
            </w:r>
          </w:p>
        </w:tc>
      </w:tr>
      <w:tr>
        <w:trPr>
          <w:trHeight w:val="251"/>
        </w:trPr>
        <w:tc>
          <w:tcPr>
            <w:tcW w:w="586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3960" w:type="dxa"/>
            <w:vAlign w:val="bottom"/>
            <w:shd w:val="clear" w:color="auto" w:fill="CCEEFF"/>
          </w:tcPr>
          <w:p>
            <w:pPr>
              <w:jc w:val="center"/>
              <w:ind w:left="2930"/>
              <w:spacing w:after="0"/>
              <w:rPr>
                <w:sz w:val="20"/>
                <w:szCs w:val="20"/>
                <w:color w:val="auto"/>
              </w:rPr>
            </w:pPr>
            <w:r>
              <w:rPr>
                <w:rFonts w:ascii="Arial" w:cs="Arial" w:eastAsia="Arial" w:hAnsi="Arial"/>
                <w:sz w:val="18"/>
                <w:szCs w:val="18"/>
                <w:color w:val="auto"/>
              </w:rPr>
              <w:t>4.6</w:t>
            </w:r>
          </w:p>
        </w:tc>
        <w:tc>
          <w:tcPr>
            <w:tcW w:w="1420" w:type="dxa"/>
            <w:vAlign w:val="bottom"/>
            <w:shd w:val="clear" w:color="auto" w:fill="CCEEFF"/>
          </w:tcPr>
          <w:p>
            <w:pPr>
              <w:jc w:val="center"/>
              <w:ind w:left="930"/>
              <w:spacing w:after="0"/>
              <w:rPr>
                <w:sz w:val="20"/>
                <w:szCs w:val="20"/>
                <w:color w:val="auto"/>
              </w:rPr>
            </w:pPr>
            <w:r>
              <w:rPr>
                <w:rFonts w:ascii="Arial" w:cs="Arial" w:eastAsia="Arial" w:hAnsi="Arial"/>
                <w:sz w:val="18"/>
                <w:szCs w:val="18"/>
                <w:color w:val="auto"/>
                <w:w w:val="95"/>
              </w:rPr>
              <w:t>5.6</w:t>
            </w:r>
          </w:p>
        </w:tc>
      </w:tr>
      <w:tr>
        <w:trPr>
          <w:trHeight w:val="229"/>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Expected long-term return on plan assets</w:t>
            </w:r>
          </w:p>
        </w:tc>
        <w:tc>
          <w:tcPr>
            <w:tcW w:w="3960" w:type="dxa"/>
            <w:vAlign w:val="bottom"/>
            <w:tcBorders>
              <w:bottom w:val="single" w:sz="8" w:color="auto"/>
            </w:tcBorders>
          </w:tcPr>
          <w:p>
            <w:pPr>
              <w:jc w:val="center"/>
              <w:ind w:left="2930"/>
              <w:spacing w:after="0"/>
              <w:rPr>
                <w:sz w:val="20"/>
                <w:szCs w:val="20"/>
                <w:color w:val="auto"/>
              </w:rPr>
            </w:pPr>
            <w:r>
              <w:rPr>
                <w:rFonts w:ascii="Arial" w:cs="Arial" w:eastAsia="Arial" w:hAnsi="Arial"/>
                <w:sz w:val="18"/>
                <w:szCs w:val="18"/>
                <w:color w:val="auto"/>
              </w:rPr>
              <w:t>5.0</w:t>
            </w:r>
          </w:p>
        </w:tc>
        <w:tc>
          <w:tcPr>
            <w:tcW w:w="1420" w:type="dxa"/>
            <w:vAlign w:val="bottom"/>
            <w:tcBorders>
              <w:bottom w:val="single" w:sz="8" w:color="auto"/>
            </w:tcBorders>
          </w:tcPr>
          <w:p>
            <w:pPr>
              <w:jc w:val="center"/>
              <w:ind w:left="930"/>
              <w:spacing w:after="0"/>
              <w:rPr>
                <w:sz w:val="20"/>
                <w:szCs w:val="20"/>
                <w:color w:val="auto"/>
              </w:rPr>
            </w:pPr>
            <w:r>
              <w:rPr>
                <w:rFonts w:ascii="Arial" w:cs="Arial" w:eastAsia="Arial" w:hAnsi="Arial"/>
                <w:sz w:val="18"/>
                <w:szCs w:val="18"/>
                <w:color w:val="auto"/>
                <w:w w:val="95"/>
              </w:rPr>
              <w:t>5.0</w:t>
            </w:r>
          </w:p>
        </w:tc>
      </w:tr>
      <w:tr>
        <w:trPr>
          <w:trHeight w:val="21"/>
        </w:trPr>
        <w:tc>
          <w:tcPr>
            <w:tcW w:w="5860" w:type="dxa"/>
            <w:vAlign w:val="bottom"/>
            <w:tcBorders>
              <w:bottom w:val="single" w:sz="8" w:color="auto"/>
            </w:tcBorders>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assumptions related to the expected long-term return on plan assets are developed through an analysis of historical market returns, current market conditions, and composition of plan assets.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assumptions used to determine net periodic benefit cost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4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(Percent)</w:t>
            </w:r>
          </w:p>
        </w:tc>
        <w:tc>
          <w:tcPr>
            <w:tcW w:w="3180" w:type="dxa"/>
            <w:vAlign w:val="bottom"/>
            <w:tcBorders>
              <w:top w:val="single" w:sz="8" w:color="auto"/>
              <w:bottom w:val="single" w:sz="8" w:color="auto"/>
            </w:tcBorders>
          </w:tcPr>
          <w:p>
            <w:pPr>
              <w:jc w:val="center"/>
              <w:ind w:left="1490"/>
              <w:spacing w:after="0"/>
              <w:rPr>
                <w:sz w:val="20"/>
                <w:szCs w:val="20"/>
                <w:color w:val="auto"/>
              </w:rPr>
            </w:pPr>
            <w:r>
              <w:rPr>
                <w:rFonts w:ascii="Arial" w:cs="Arial" w:eastAsia="Arial" w:hAnsi="Arial"/>
                <w:sz w:val="18"/>
                <w:szCs w:val="18"/>
                <w:color w:val="auto"/>
                <w:w w:val="99"/>
              </w:rPr>
              <w:t>2024</w:t>
            </w:r>
          </w:p>
        </w:tc>
        <w:tc>
          <w:tcPr>
            <w:tcW w:w="1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2023</w:t>
            </w:r>
          </w:p>
        </w:tc>
        <w:tc>
          <w:tcPr>
            <w:tcW w:w="1000" w:type="dxa"/>
            <w:vAlign w:val="bottom"/>
            <w:tcBorders>
              <w:top w:val="single" w:sz="8" w:color="auto"/>
              <w:bottom w:val="single" w:sz="8" w:color="auto"/>
            </w:tcBorders>
          </w:tcPr>
          <w:p>
            <w:pPr>
              <w:jc w:val="center"/>
              <w:ind w:left="470"/>
              <w:spacing w:after="0"/>
              <w:rPr>
                <w:sz w:val="20"/>
                <w:szCs w:val="20"/>
                <w:color w:val="auto"/>
              </w:rPr>
            </w:pPr>
            <w:r>
              <w:rPr>
                <w:rFonts w:ascii="Arial" w:cs="Arial" w:eastAsia="Arial" w:hAnsi="Arial"/>
                <w:sz w:val="18"/>
                <w:szCs w:val="18"/>
                <w:color w:val="auto"/>
                <w:w w:val="99"/>
              </w:rPr>
              <w:t>2022</w:t>
            </w:r>
          </w:p>
        </w:tc>
      </w:tr>
      <w:tr>
        <w:trPr>
          <w:trHeight w:val="250"/>
        </w:trPr>
        <w:tc>
          <w:tcPr>
            <w:tcW w:w="548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 - service cost</w:t>
            </w:r>
          </w:p>
        </w:tc>
        <w:tc>
          <w:tcPr>
            <w:tcW w:w="3180" w:type="dxa"/>
            <w:vAlign w:val="bottom"/>
            <w:shd w:val="clear" w:color="auto" w:fill="CCEEFF"/>
          </w:tcPr>
          <w:p>
            <w:pPr>
              <w:jc w:val="center"/>
              <w:ind w:left="1530"/>
              <w:spacing w:after="0"/>
              <w:rPr>
                <w:sz w:val="20"/>
                <w:szCs w:val="20"/>
                <w:color w:val="auto"/>
              </w:rPr>
            </w:pPr>
            <w:r>
              <w:rPr>
                <w:rFonts w:ascii="Arial" w:cs="Arial" w:eastAsia="Arial" w:hAnsi="Arial"/>
                <w:sz w:val="18"/>
                <w:szCs w:val="18"/>
                <w:color w:val="auto"/>
                <w:w w:val="95"/>
              </w:rPr>
              <w:t>5.2</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5.9</w:t>
            </w:r>
          </w:p>
        </w:tc>
        <w:tc>
          <w:tcPr>
            <w:tcW w:w="100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w w:val="95"/>
              </w:rPr>
              <w:t>5.5</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Discount rate - interest cost</w:t>
            </w:r>
          </w:p>
        </w:tc>
        <w:tc>
          <w:tcPr>
            <w:tcW w:w="3180" w:type="dxa"/>
            <w:vAlign w:val="bottom"/>
          </w:tcPr>
          <w:p>
            <w:pPr>
              <w:jc w:val="center"/>
              <w:ind w:left="1530"/>
              <w:spacing w:after="0"/>
              <w:rPr>
                <w:sz w:val="20"/>
                <w:szCs w:val="20"/>
                <w:color w:val="auto"/>
              </w:rPr>
            </w:pPr>
            <w:r>
              <w:rPr>
                <w:rFonts w:ascii="Arial" w:cs="Arial" w:eastAsia="Arial" w:hAnsi="Arial"/>
                <w:sz w:val="18"/>
                <w:szCs w:val="18"/>
                <w:color w:val="auto"/>
                <w:w w:val="95"/>
              </w:rPr>
              <w:t>4.4</w:t>
            </w:r>
          </w:p>
        </w:tc>
        <w:tc>
          <w:tcPr>
            <w:tcW w:w="1580" w:type="dxa"/>
            <w:vAlign w:val="bottom"/>
          </w:tcPr>
          <w:p>
            <w:pPr>
              <w:jc w:val="center"/>
              <w:spacing w:after="0"/>
              <w:rPr>
                <w:sz w:val="20"/>
                <w:szCs w:val="20"/>
                <w:color w:val="auto"/>
              </w:rPr>
            </w:pPr>
            <w:r>
              <w:rPr>
                <w:rFonts w:ascii="Arial" w:cs="Arial" w:eastAsia="Arial" w:hAnsi="Arial"/>
                <w:sz w:val="18"/>
                <w:szCs w:val="18"/>
                <w:color w:val="auto"/>
                <w:w w:val="95"/>
              </w:rPr>
              <w:t>5.5</w:t>
            </w:r>
          </w:p>
        </w:tc>
        <w:tc>
          <w:tcPr>
            <w:tcW w:w="1000" w:type="dxa"/>
            <w:vAlign w:val="bottom"/>
          </w:tcPr>
          <w:p>
            <w:pPr>
              <w:jc w:val="center"/>
              <w:ind w:left="510"/>
              <w:spacing w:after="0"/>
              <w:rPr>
                <w:sz w:val="20"/>
                <w:szCs w:val="20"/>
                <w:color w:val="auto"/>
              </w:rPr>
            </w:pPr>
            <w:r>
              <w:rPr>
                <w:rFonts w:ascii="Arial" w:cs="Arial" w:eastAsia="Arial" w:hAnsi="Arial"/>
                <w:sz w:val="18"/>
                <w:szCs w:val="18"/>
                <w:color w:val="auto"/>
                <w:w w:val="95"/>
              </w:rPr>
              <w:t>5.1</w:t>
            </w:r>
          </w:p>
        </w:tc>
      </w:tr>
      <w:tr>
        <w:trPr>
          <w:trHeight w:val="255"/>
        </w:trPr>
        <w:tc>
          <w:tcPr>
            <w:tcW w:w="5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Expected long-term return on plan assets</w:t>
            </w:r>
          </w:p>
        </w:tc>
        <w:tc>
          <w:tcPr>
            <w:tcW w:w="3180" w:type="dxa"/>
            <w:vAlign w:val="bottom"/>
            <w:tcBorders>
              <w:bottom w:val="single" w:sz="8" w:color="auto"/>
            </w:tcBorders>
            <w:shd w:val="clear" w:color="auto" w:fill="CCEEFF"/>
          </w:tcPr>
          <w:p>
            <w:pPr>
              <w:jc w:val="center"/>
              <w:ind w:left="1530"/>
              <w:spacing w:after="0"/>
              <w:rPr>
                <w:sz w:val="20"/>
                <w:szCs w:val="20"/>
                <w:color w:val="auto"/>
              </w:rPr>
            </w:pPr>
            <w:r>
              <w:rPr>
                <w:rFonts w:ascii="Arial" w:cs="Arial" w:eastAsia="Arial" w:hAnsi="Arial"/>
                <w:sz w:val="18"/>
                <w:szCs w:val="18"/>
                <w:color w:val="auto"/>
                <w:w w:val="95"/>
              </w:rPr>
              <w:t>5.0</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5.0</w:t>
            </w:r>
          </w:p>
        </w:tc>
        <w:tc>
          <w:tcPr>
            <w:tcW w:w="1000" w:type="dxa"/>
            <w:vAlign w:val="bottom"/>
            <w:tcBorders>
              <w:bottom w:val="single" w:sz="8" w:color="auto"/>
            </w:tcBorders>
            <w:shd w:val="clear" w:color="auto" w:fill="CCEEFF"/>
          </w:tcPr>
          <w:p>
            <w:pPr>
              <w:jc w:val="center"/>
              <w:ind w:left="510"/>
              <w:spacing w:after="0"/>
              <w:rPr>
                <w:sz w:val="20"/>
                <w:szCs w:val="20"/>
                <w:color w:val="auto"/>
              </w:rPr>
            </w:pPr>
            <w:r>
              <w:rPr>
                <w:rFonts w:ascii="Arial" w:cs="Arial" w:eastAsia="Arial" w:hAnsi="Arial"/>
                <w:sz w:val="18"/>
                <w:szCs w:val="18"/>
                <w:color w:val="auto"/>
                <w:w w:val="95"/>
              </w:rPr>
              <w:t>5.0</w:t>
            </w:r>
          </w:p>
        </w:tc>
      </w:tr>
      <w:tr>
        <w:trPr>
          <w:trHeight w:val="20"/>
        </w:trPr>
        <w:tc>
          <w:tcPr>
            <w:tcW w:w="5480" w:type="dxa"/>
            <w:vAlign w:val="bottom"/>
            <w:tcBorders>
              <w:top w:val="single" w:sz="8" w:color="CCEEFF"/>
              <w:bottom w:val="single" w:sz="8" w:color="auto"/>
            </w:tcBorders>
          </w:tcPr>
          <w:p>
            <w:pPr>
              <w:spacing w:after="0" w:line="20" w:lineRule="exact"/>
              <w:rPr>
                <w:sz w:val="1"/>
                <w:szCs w:val="1"/>
                <w:color w:val="auto"/>
              </w:rPr>
            </w:pPr>
          </w:p>
        </w:tc>
        <w:tc>
          <w:tcPr>
            <w:tcW w:w="3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2024</w:t>
      </w:r>
      <w:r>
        <w:rPr>
          <w:rFonts w:ascii="Arial" w:cs="Arial" w:eastAsia="Arial" w:hAnsi="Arial"/>
          <w:sz w:val="18"/>
          <w:szCs w:val="18"/>
          <w:i w:val="1"/>
          <w:iCs w:val="1"/>
          <w:color w:val="auto"/>
        </w:rPr>
        <w:t>,</w:t>
      </w:r>
      <w:r>
        <w:rPr>
          <w:rFonts w:ascii="Arial" w:cs="Arial" w:eastAsia="Arial" w:hAnsi="Arial"/>
          <w:sz w:val="18"/>
          <w:szCs w:val="18"/>
          <w:color w:val="auto"/>
        </w:rPr>
        <w:t xml:space="preserve"> the expected long-term return on plan assets is 5.0%. The assumptions related to the expected long-term return on plan assets are developed through an analysis of historical market returns, current market conditions and composition of plan assets.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Assumed health care cost trend rates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00" w:type="dxa"/>
            <w:vAlign w:val="bottom"/>
            <w:tcBorders>
              <w:top w:val="single" w:sz="8" w:color="auto"/>
            </w:tcBorders>
          </w:tcPr>
          <w:p>
            <w:pPr>
              <w:spacing w:after="0"/>
              <w:rPr>
                <w:sz w:val="16"/>
                <w:szCs w:val="16"/>
                <w:color w:val="auto"/>
              </w:rPr>
            </w:pPr>
          </w:p>
        </w:tc>
        <w:tc>
          <w:tcPr>
            <w:tcW w:w="2320" w:type="dxa"/>
            <w:vAlign w:val="bottom"/>
            <w:tcBorders>
              <w:top w:val="single" w:sz="8" w:color="auto"/>
            </w:tcBorders>
          </w:tcPr>
          <w:p>
            <w:pPr>
              <w:jc w:val="right"/>
              <w:ind w:right="190"/>
              <w:spacing w:after="0" w:line="189" w:lineRule="exact"/>
              <w:rPr>
                <w:sz w:val="20"/>
                <w:szCs w:val="20"/>
                <w:color w:val="auto"/>
              </w:rPr>
            </w:pPr>
            <w:r>
              <w:rPr>
                <w:rFonts w:ascii="Arial" w:cs="Arial" w:eastAsia="Arial" w:hAnsi="Arial"/>
                <w:sz w:val="18"/>
                <w:szCs w:val="18"/>
                <w:color w:val="auto"/>
              </w:rPr>
              <w:t>September 29</w:t>
            </w:r>
          </w:p>
        </w:tc>
        <w:tc>
          <w:tcPr>
            <w:tcW w:w="1420" w:type="dxa"/>
            <w:vAlign w:val="bottom"/>
            <w:tcBorders>
              <w:top w:val="single" w:sz="8" w:color="auto"/>
            </w:tcBorders>
          </w:tcPr>
          <w:p>
            <w:pPr>
              <w:ind w:left="280"/>
              <w:spacing w:after="0" w:line="189" w:lineRule="exact"/>
              <w:rPr>
                <w:sz w:val="20"/>
                <w:szCs w:val="20"/>
                <w:color w:val="auto"/>
              </w:rPr>
            </w:pPr>
            <w:r>
              <w:rPr>
                <w:rFonts w:ascii="Arial" w:cs="Arial" w:eastAsia="Arial" w:hAnsi="Arial"/>
                <w:sz w:val="18"/>
                <w:szCs w:val="18"/>
                <w:color w:val="auto"/>
                <w:w w:val="99"/>
              </w:rPr>
              <w:t>September 24</w:t>
            </w:r>
          </w:p>
        </w:tc>
      </w:tr>
      <w:tr>
        <w:trPr>
          <w:trHeight w:val="242"/>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(Percent)</w:t>
            </w:r>
          </w:p>
        </w:tc>
        <w:tc>
          <w:tcPr>
            <w:tcW w:w="23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2024</w:t>
            </w:r>
          </w:p>
        </w:tc>
        <w:tc>
          <w:tcPr>
            <w:tcW w:w="1420" w:type="dxa"/>
            <w:vAlign w:val="bottom"/>
            <w:tcBorders>
              <w:bottom w:val="single" w:sz="8" w:color="auto"/>
            </w:tcBorders>
          </w:tcPr>
          <w:p>
            <w:pPr>
              <w:jc w:val="center"/>
              <w:ind w:left="890"/>
              <w:spacing w:after="0"/>
              <w:rPr>
                <w:sz w:val="20"/>
                <w:szCs w:val="20"/>
                <w:color w:val="auto"/>
              </w:rPr>
            </w:pPr>
            <w:r>
              <w:rPr>
                <w:rFonts w:ascii="Arial" w:cs="Arial" w:eastAsia="Arial" w:hAnsi="Arial"/>
                <w:sz w:val="18"/>
                <w:szCs w:val="18"/>
                <w:color w:val="auto"/>
                <w:w w:val="99"/>
              </w:rPr>
              <w:t>2023</w:t>
            </w:r>
          </w:p>
        </w:tc>
      </w:tr>
      <w:tr>
        <w:trPr>
          <w:trHeight w:val="251"/>
        </w:trPr>
        <w:tc>
          <w:tcPr>
            <w:tcW w:w="75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3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Health care cost trend rates</w:t>
            </w:r>
          </w:p>
        </w:tc>
        <w:tc>
          <w:tcPr>
            <w:tcW w:w="23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18.9</w:t>
            </w:r>
          </w:p>
        </w:tc>
        <w:tc>
          <w:tcPr>
            <w:tcW w:w="1420" w:type="dxa"/>
            <w:vAlign w:val="bottom"/>
            <w:shd w:val="clear" w:color="auto" w:fill="CCEEFF"/>
          </w:tcPr>
          <w:p>
            <w:pPr>
              <w:jc w:val="center"/>
              <w:ind w:left="930"/>
              <w:spacing w:after="0"/>
              <w:rPr>
                <w:sz w:val="20"/>
                <w:szCs w:val="20"/>
                <w:color w:val="auto"/>
              </w:rPr>
            </w:pPr>
            <w:r>
              <w:rPr>
                <w:rFonts w:ascii="Arial" w:cs="Arial" w:eastAsia="Arial" w:hAnsi="Arial"/>
                <w:sz w:val="18"/>
                <w:szCs w:val="18"/>
                <w:color w:val="auto"/>
                <w:w w:val="95"/>
              </w:rPr>
              <w:t>3.9</w:t>
            </w:r>
          </w:p>
        </w:tc>
      </w:tr>
      <w:tr>
        <w:trPr>
          <w:trHeight w:val="230"/>
        </w:trPr>
        <w:tc>
          <w:tcPr>
            <w:tcW w:w="7500" w:type="dxa"/>
            <w:vAlign w:val="bottom"/>
          </w:tcPr>
          <w:p>
            <w:pPr>
              <w:ind w:left="20"/>
              <w:spacing w:after="0"/>
              <w:rPr>
                <w:sz w:val="20"/>
                <w:szCs w:val="20"/>
                <w:color w:val="auto"/>
              </w:rPr>
            </w:pPr>
            <w:r>
              <w:rPr>
                <w:rFonts w:ascii="Arial" w:cs="Arial" w:eastAsia="Arial" w:hAnsi="Arial"/>
                <w:sz w:val="18"/>
                <w:szCs w:val="18"/>
                <w:color w:val="auto"/>
              </w:rPr>
              <w:t>Rate to which the cost trend rate is assumed to decline (the “Ultimate Trend Rate”)</w:t>
            </w:r>
          </w:p>
        </w:tc>
        <w:tc>
          <w:tcPr>
            <w:tcW w:w="2320" w:type="dxa"/>
            <w:vAlign w:val="bottom"/>
          </w:tcPr>
          <w:p>
            <w:pPr>
              <w:jc w:val="right"/>
              <w:ind w:right="250"/>
              <w:spacing w:after="0"/>
              <w:rPr>
                <w:sz w:val="20"/>
                <w:szCs w:val="20"/>
                <w:color w:val="auto"/>
              </w:rPr>
            </w:pPr>
            <w:r>
              <w:rPr>
                <w:rFonts w:ascii="Arial" w:cs="Arial" w:eastAsia="Arial" w:hAnsi="Arial"/>
                <w:sz w:val="18"/>
                <w:szCs w:val="18"/>
                <w:color w:val="auto"/>
              </w:rPr>
              <w:t>4.5</w:t>
            </w:r>
          </w:p>
        </w:tc>
        <w:tc>
          <w:tcPr>
            <w:tcW w:w="1420" w:type="dxa"/>
            <w:vAlign w:val="bottom"/>
          </w:tcPr>
          <w:p>
            <w:pPr>
              <w:jc w:val="center"/>
              <w:ind w:left="930"/>
              <w:spacing w:after="0"/>
              <w:rPr>
                <w:sz w:val="20"/>
                <w:szCs w:val="20"/>
                <w:color w:val="auto"/>
              </w:rPr>
            </w:pPr>
            <w:r>
              <w:rPr>
                <w:rFonts w:ascii="Arial" w:cs="Arial" w:eastAsia="Arial" w:hAnsi="Arial"/>
                <w:sz w:val="18"/>
                <w:szCs w:val="18"/>
                <w:color w:val="auto"/>
                <w:w w:val="95"/>
              </w:rPr>
              <w:t>4.5</w:t>
            </w:r>
          </w:p>
        </w:tc>
      </w:tr>
      <w:tr>
        <w:trPr>
          <w:trHeight w:val="255"/>
        </w:trPr>
        <w:tc>
          <w:tcPr>
            <w:tcW w:w="7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Year in which the rate reaches the Ultimate Trend Rate</w:t>
            </w:r>
          </w:p>
        </w:tc>
        <w:tc>
          <w:tcPr>
            <w:tcW w:w="23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2034</w:t>
            </w:r>
          </w:p>
        </w:tc>
        <w:tc>
          <w:tcPr>
            <w:tcW w:w="1420" w:type="dxa"/>
            <w:vAlign w:val="bottom"/>
            <w:tcBorders>
              <w:bottom w:val="single" w:sz="8" w:color="auto"/>
            </w:tcBorders>
            <w:shd w:val="clear" w:color="auto" w:fill="CCEEFF"/>
          </w:tcPr>
          <w:p>
            <w:pPr>
              <w:jc w:val="center"/>
              <w:ind w:left="890"/>
              <w:spacing w:after="0"/>
              <w:rPr>
                <w:sz w:val="20"/>
                <w:szCs w:val="20"/>
                <w:color w:val="auto"/>
              </w:rPr>
            </w:pPr>
            <w:r>
              <w:rPr>
                <w:rFonts w:ascii="Arial" w:cs="Arial" w:eastAsia="Arial" w:hAnsi="Arial"/>
                <w:sz w:val="18"/>
                <w:szCs w:val="18"/>
                <w:color w:val="auto"/>
                <w:w w:val="99"/>
              </w:rPr>
              <w:t>2033</w:t>
            </w:r>
          </w:p>
        </w:tc>
      </w:tr>
      <w:tr>
        <w:trPr>
          <w:trHeight w:val="20"/>
        </w:trPr>
        <w:tc>
          <w:tcPr>
            <w:tcW w:w="7500" w:type="dxa"/>
            <w:vAlign w:val="bottom"/>
            <w:tcBorders>
              <w:top w:val="single" w:sz="8" w:color="CCEEFF"/>
              <w:bottom w:val="single" w:sz="8" w:color="auto"/>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costs related to indemnity plans are assumed to increase at the health care cost trend rates noted above.</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year ended September 29, 2024, the most significant driver of the decrease in benefit obligations for the plans was the curtailment, see above for details. For the year ended September 24, 2023, the most significant driver of the decrease in benefit obligations for the plans was the higher actual return on assets compared to</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520"/>
        <w:spacing w:after="0" w:line="461" w:lineRule="auto"/>
        <w:rPr>
          <w:sz w:val="20"/>
          <w:szCs w:val="20"/>
          <w:color w:val="auto"/>
        </w:rPr>
      </w:pPr>
      <w:r>
        <w:rPr>
          <w:rFonts w:ascii="Arial" w:cs="Arial" w:eastAsia="Arial" w:hAnsi="Arial"/>
          <w:sz w:val="18"/>
          <w:szCs w:val="18"/>
          <w:color w:val="auto"/>
        </w:rPr>
        <w:t xml:space="preserve">expectations. The plans also recognized actuarial gains due to increases in bond yields that resulted in increases to the discount rates. </w:t>
      </w:r>
      <w:r>
        <w:rPr>
          <w:rFonts w:ascii="Arial" w:cs="Arial" w:eastAsia="Arial" w:hAnsi="Arial"/>
          <w:sz w:val="18"/>
          <w:szCs w:val="18"/>
          <w:b w:val="1"/>
          <w:bCs w:val="1"/>
          <w:color w:val="auto"/>
        </w:rPr>
        <w:t>Plan Assets</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Assets of the retiree medical plan are invested in a master trust. The master trust also pays benefits of active employee medical plans for the same union employees. The fair value of master trust assets allocated to the active employee medical plans at September 29, 2024 and September 24, 2023 is $0.5 million and $0.4 million, respectively, which are included within the tables below.</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primary objective of our investment strategy is to satisfy our postretirement obligations at a reasonable cost. Assets are actively invested to balance real growth of capital through appreciation and reinvestment of dividend and interest income and safety of invested funds.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investment policy outlines the governance structure for decision-making, sets investment objectives and restrictions and establishes criteria for selecting and evaluating investment managers. The use of derivatives is strictly prohibited, except on a case-by-case basis where the manager has a proven capability, and only to hedge quantifiable risks such as exposure to foreign currencies. An investment committee, consisting of certain of our executives and supported by independent consultants, is responsible for monitoring compliance with the investment policy. Assets are periodically redistributed to maintain the appropriate policy allocation.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asset allocation of our postretirement assets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i w:val="1"/>
                <w:iCs w:val="1"/>
                <w:color w:val="auto"/>
              </w:rPr>
              <w:t>(Percent)</w:t>
            </w:r>
          </w:p>
        </w:tc>
        <w:tc>
          <w:tcPr>
            <w:tcW w:w="4740" w:type="dxa"/>
            <w:vAlign w:val="bottom"/>
            <w:tcBorders>
              <w:top w:val="single" w:sz="8" w:color="auto"/>
              <w:bottom w:val="single" w:sz="8" w:color="auto"/>
            </w:tcBorders>
            <w:gridSpan w:val="2"/>
          </w:tcPr>
          <w:p>
            <w:pPr>
              <w:jc w:val="right"/>
              <w:ind w:right="1270"/>
              <w:spacing w:after="0"/>
              <w:rPr>
                <w:sz w:val="20"/>
                <w:szCs w:val="20"/>
                <w:color w:val="auto"/>
              </w:rPr>
            </w:pPr>
            <w:r>
              <w:rPr>
                <w:rFonts w:ascii="Arial" w:cs="Arial" w:eastAsia="Arial" w:hAnsi="Arial"/>
                <w:sz w:val="18"/>
                <w:szCs w:val="18"/>
                <w:color w:val="auto"/>
              </w:rPr>
              <w:t>Policy Allocation</w:t>
            </w:r>
          </w:p>
        </w:tc>
        <w:tc>
          <w:tcPr>
            <w:tcW w:w="3180" w:type="dxa"/>
            <w:vAlign w:val="bottom"/>
            <w:tcBorders>
              <w:top w:val="single" w:sz="8" w:color="auto"/>
              <w:bottom w:val="single" w:sz="8" w:color="auto"/>
            </w:tcBorders>
            <w:gridSpan w:val="2"/>
          </w:tcPr>
          <w:p>
            <w:pPr>
              <w:jc w:val="right"/>
              <w:ind w:right="950"/>
              <w:spacing w:after="0"/>
              <w:rPr>
                <w:sz w:val="20"/>
                <w:szCs w:val="20"/>
                <w:color w:val="auto"/>
              </w:rPr>
            </w:pPr>
            <w:r>
              <w:rPr>
                <w:rFonts w:ascii="Arial" w:cs="Arial" w:eastAsia="Arial" w:hAnsi="Arial"/>
                <w:sz w:val="18"/>
                <w:szCs w:val="18"/>
                <w:color w:val="auto"/>
              </w:rPr>
              <w:t>Actual Allocation</w:t>
            </w:r>
          </w:p>
        </w:tc>
        <w:tc>
          <w:tcPr>
            <w:tcW w:w="0" w:type="dxa"/>
            <w:vAlign w:val="bottom"/>
          </w:tcPr>
          <w:p>
            <w:pPr>
              <w:spacing w:after="0"/>
              <w:rPr>
                <w:sz w:val="1"/>
                <w:szCs w:val="1"/>
                <w:color w:val="auto"/>
              </w:rPr>
            </w:pPr>
          </w:p>
        </w:tc>
      </w:tr>
      <w:tr>
        <w:trPr>
          <w:trHeight w:val="177"/>
        </w:trPr>
        <w:tc>
          <w:tcPr>
            <w:tcW w:w="3320" w:type="dxa"/>
            <w:vAlign w:val="bottom"/>
            <w:vMerge w:val="restart"/>
          </w:tcPr>
          <w:p>
            <w:pPr>
              <w:ind w:left="20"/>
              <w:spacing w:after="0"/>
              <w:rPr>
                <w:sz w:val="20"/>
                <w:szCs w:val="20"/>
                <w:color w:val="auto"/>
              </w:rPr>
            </w:pPr>
            <w:r>
              <w:rPr>
                <w:rFonts w:ascii="Arial" w:cs="Arial" w:eastAsia="Arial" w:hAnsi="Arial"/>
                <w:sz w:val="18"/>
                <w:szCs w:val="18"/>
                <w:color w:val="auto"/>
              </w:rPr>
              <w:t>Asset Class</w:t>
            </w:r>
          </w:p>
        </w:tc>
        <w:tc>
          <w:tcPr>
            <w:tcW w:w="3000" w:type="dxa"/>
            <w:vAlign w:val="bottom"/>
            <w:vMerge w:val="restart"/>
          </w:tcPr>
          <w:p>
            <w:pPr>
              <w:jc w:val="right"/>
              <w:ind w:right="210"/>
              <w:spacing w:after="0"/>
              <w:rPr>
                <w:sz w:val="20"/>
                <w:szCs w:val="20"/>
                <w:color w:val="auto"/>
              </w:rPr>
            </w:pPr>
            <w:r>
              <w:rPr>
                <w:rFonts w:ascii="Arial" w:cs="Arial" w:eastAsia="Arial" w:hAnsi="Arial"/>
                <w:sz w:val="18"/>
                <w:szCs w:val="18"/>
                <w:color w:val="auto"/>
              </w:rPr>
              <w:t>September 29 2024</w:t>
            </w:r>
          </w:p>
        </w:tc>
        <w:tc>
          <w:tcPr>
            <w:tcW w:w="1740" w:type="dxa"/>
            <w:vAlign w:val="bottom"/>
          </w:tcPr>
          <w:p>
            <w:pPr>
              <w:jc w:val="right"/>
              <w:ind w:right="250"/>
              <w:spacing w:after="0" w:line="177" w:lineRule="exact"/>
              <w:rPr>
                <w:sz w:val="20"/>
                <w:szCs w:val="20"/>
                <w:color w:val="auto"/>
              </w:rPr>
            </w:pPr>
            <w:r>
              <w:rPr>
                <w:rFonts w:ascii="Arial" w:cs="Arial" w:eastAsia="Arial" w:hAnsi="Arial"/>
                <w:sz w:val="18"/>
                <w:szCs w:val="18"/>
                <w:color w:val="auto"/>
              </w:rPr>
              <w:t>September 24</w:t>
            </w:r>
          </w:p>
        </w:tc>
        <w:tc>
          <w:tcPr>
            <w:tcW w:w="1740" w:type="dxa"/>
            <w:vAlign w:val="bottom"/>
          </w:tcPr>
          <w:p>
            <w:pPr>
              <w:jc w:val="right"/>
              <w:ind w:right="190"/>
              <w:spacing w:after="0" w:line="177" w:lineRule="exact"/>
              <w:rPr>
                <w:sz w:val="20"/>
                <w:szCs w:val="20"/>
                <w:color w:val="auto"/>
              </w:rPr>
            </w:pPr>
            <w:r>
              <w:rPr>
                <w:rFonts w:ascii="Arial" w:cs="Arial" w:eastAsia="Arial" w:hAnsi="Arial"/>
                <w:sz w:val="18"/>
                <w:szCs w:val="18"/>
                <w:color w:val="auto"/>
              </w:rPr>
              <w:t>September 29</w:t>
            </w:r>
          </w:p>
        </w:tc>
        <w:tc>
          <w:tcPr>
            <w:tcW w:w="1440" w:type="dxa"/>
            <w:vAlign w:val="bottom"/>
          </w:tcPr>
          <w:p>
            <w:pPr>
              <w:jc w:val="right"/>
              <w:spacing w:after="0" w:line="177" w:lineRule="exact"/>
              <w:rPr>
                <w:sz w:val="20"/>
                <w:szCs w:val="20"/>
                <w:color w:val="auto"/>
              </w:rPr>
            </w:pPr>
            <w:r>
              <w:rPr>
                <w:rFonts w:ascii="Arial" w:cs="Arial" w:eastAsia="Arial" w:hAnsi="Arial"/>
                <w:sz w:val="18"/>
                <w:szCs w:val="18"/>
                <w:color w:val="auto"/>
              </w:rPr>
              <w:t>September 24</w:t>
            </w:r>
          </w:p>
        </w:tc>
        <w:tc>
          <w:tcPr>
            <w:tcW w:w="0" w:type="dxa"/>
            <w:vAlign w:val="bottom"/>
          </w:tcPr>
          <w:p>
            <w:pPr>
              <w:spacing w:after="0"/>
              <w:rPr>
                <w:sz w:val="1"/>
                <w:szCs w:val="1"/>
                <w:color w:val="auto"/>
              </w:rPr>
            </w:pPr>
          </w:p>
        </w:tc>
      </w:tr>
      <w:tr>
        <w:trPr>
          <w:trHeight w:val="235"/>
        </w:trPr>
        <w:tc>
          <w:tcPr>
            <w:tcW w:w="3320" w:type="dxa"/>
            <w:vAlign w:val="bottom"/>
            <w:tcBorders>
              <w:bottom w:val="single" w:sz="8" w:color="auto"/>
            </w:tcBorders>
            <w:vMerge w:val="continue"/>
          </w:tcPr>
          <w:p>
            <w:pPr>
              <w:spacing w:after="0"/>
              <w:rPr>
                <w:sz w:val="20"/>
                <w:szCs w:val="20"/>
                <w:color w:val="auto"/>
              </w:rPr>
            </w:pPr>
          </w:p>
        </w:tc>
        <w:tc>
          <w:tcPr>
            <w:tcW w:w="3000" w:type="dxa"/>
            <w:vAlign w:val="bottom"/>
            <w:tcBorders>
              <w:bottom w:val="single" w:sz="8" w:color="auto"/>
            </w:tcBorders>
            <w:vMerge w:val="continue"/>
          </w:tcPr>
          <w:p>
            <w:pPr>
              <w:spacing w:after="0"/>
              <w:rPr>
                <w:sz w:val="20"/>
                <w:szCs w:val="20"/>
                <w:color w:val="auto"/>
              </w:rPr>
            </w:pPr>
          </w:p>
        </w:tc>
        <w:tc>
          <w:tcPr>
            <w:tcW w:w="1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2023</w:t>
            </w:r>
          </w:p>
        </w:tc>
        <w:tc>
          <w:tcPr>
            <w:tcW w:w="1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2024</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50"/>
        </w:trPr>
        <w:tc>
          <w:tcPr>
            <w:tcW w:w="332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30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25</w:t>
            </w:r>
          </w:p>
        </w:tc>
        <w:tc>
          <w:tcPr>
            <w:tcW w:w="17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20</w:t>
            </w:r>
          </w:p>
        </w:tc>
        <w:tc>
          <w:tcPr>
            <w:tcW w:w="17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25</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Debt securities</w:t>
            </w:r>
          </w:p>
        </w:tc>
        <w:tc>
          <w:tcPr>
            <w:tcW w:w="30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310"/>
              <w:spacing w:after="0"/>
              <w:rPr>
                <w:sz w:val="20"/>
                <w:szCs w:val="20"/>
                <w:color w:val="auto"/>
              </w:rPr>
            </w:pPr>
            <w:r>
              <w:rPr>
                <w:rFonts w:ascii="Arial" w:cs="Arial" w:eastAsia="Arial" w:hAnsi="Arial"/>
                <w:sz w:val="18"/>
                <w:szCs w:val="18"/>
                <w:color w:val="auto"/>
              </w:rPr>
              <w:t>70</w:t>
            </w:r>
          </w:p>
        </w:tc>
        <w:tc>
          <w:tcPr>
            <w:tcW w:w="17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income securities</w:t>
            </w:r>
          </w:p>
        </w:tc>
        <w:tc>
          <w:tcPr>
            <w:tcW w:w="30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75</w:t>
            </w:r>
          </w:p>
        </w:tc>
        <w:tc>
          <w:tcPr>
            <w:tcW w:w="17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73</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Hedge fund investment</w:t>
            </w:r>
          </w:p>
        </w:tc>
        <w:tc>
          <w:tcPr>
            <w:tcW w:w="30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310"/>
              <w:spacing w:after="0"/>
              <w:rPr>
                <w:sz w:val="20"/>
                <w:szCs w:val="20"/>
                <w:color w:val="auto"/>
              </w:rPr>
            </w:pPr>
            <w:r>
              <w:rPr>
                <w:rFonts w:ascii="Arial" w:cs="Arial" w:eastAsia="Arial" w:hAnsi="Arial"/>
                <w:sz w:val="18"/>
                <w:szCs w:val="18"/>
                <w:color w:val="auto"/>
              </w:rPr>
              <w:t>10</w:t>
            </w:r>
          </w:p>
        </w:tc>
        <w:tc>
          <w:tcPr>
            <w:tcW w:w="17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4"/>
        </w:trPr>
        <w:tc>
          <w:tcPr>
            <w:tcW w:w="3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0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auto"/>
            </w:tcBorders>
          </w:tcPr>
          <w:p>
            <w:pPr>
              <w:spacing w:after="0" w:line="20" w:lineRule="exact"/>
              <w:rPr>
                <w:sz w:val="1"/>
                <w:szCs w:val="1"/>
                <w:color w:val="auto"/>
              </w:rPr>
            </w:pPr>
          </w:p>
        </w:tc>
        <w:tc>
          <w:tcPr>
            <w:tcW w:w="30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Plan assets include no Company securities. Assets include cash and cash equivalents and receivables from time to time due to the need to reallocate assets within policy guidelines.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of postretirement assets at September 29, 2024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28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NAV</w:t>
            </w:r>
          </w:p>
        </w:tc>
        <w:tc>
          <w:tcPr>
            <w:tcW w:w="1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Level 1</w:t>
            </w:r>
          </w:p>
        </w:tc>
        <w:tc>
          <w:tcPr>
            <w:tcW w:w="1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Level 2</w:t>
            </w:r>
          </w:p>
        </w:tc>
        <w:tc>
          <w:tcPr>
            <w:tcW w:w="110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99"/>
              </w:rPr>
              <w:t>Level 3</w:t>
            </w:r>
          </w:p>
        </w:tc>
      </w:tr>
      <w:tr>
        <w:trPr>
          <w:trHeight w:val="255"/>
        </w:trPr>
        <w:tc>
          <w:tcPr>
            <w:tcW w:w="416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7"/>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8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436</w:t>
            </w:r>
          </w:p>
        </w:tc>
        <w:tc>
          <w:tcPr>
            <w:tcW w:w="15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52"/>
        </w:trPr>
        <w:tc>
          <w:tcPr>
            <w:tcW w:w="416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28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50"/>
              <w:spacing w:after="0"/>
              <w:rPr>
                <w:sz w:val="20"/>
                <w:szCs w:val="20"/>
                <w:color w:val="auto"/>
              </w:rPr>
            </w:pPr>
            <w:r>
              <w:rPr>
                <w:rFonts w:ascii="Arial" w:cs="Arial" w:eastAsia="Arial" w:hAnsi="Arial"/>
                <w:sz w:val="18"/>
                <w:szCs w:val="18"/>
                <w:color w:val="auto"/>
              </w:rPr>
              <w:t>6,983</w:t>
            </w:r>
          </w:p>
        </w:tc>
        <w:tc>
          <w:tcPr>
            <w:tcW w:w="1580" w:type="dxa"/>
            <w:vAlign w:val="bottom"/>
          </w:tcPr>
          <w:p>
            <w:pPr>
              <w:ind w:left="840"/>
              <w:spacing w:after="0"/>
              <w:rPr>
                <w:sz w:val="20"/>
                <w:szCs w:val="20"/>
                <w:color w:val="auto"/>
              </w:rPr>
            </w:pPr>
            <w:r>
              <w:rPr>
                <w:rFonts w:ascii="Arial" w:cs="Arial" w:eastAsia="Arial" w:hAnsi="Arial"/>
                <w:sz w:val="18"/>
                <w:szCs w:val="18"/>
                <w:color w:val="auto"/>
              </w:rPr>
              <w:t>—</w:t>
            </w:r>
          </w:p>
        </w:tc>
        <w:tc>
          <w:tcPr>
            <w:tcW w:w="110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61"/>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income securities</w:t>
            </w:r>
          </w:p>
        </w:tc>
        <w:tc>
          <w:tcPr>
            <w:tcW w:w="28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20,392</w:t>
            </w:r>
          </w:p>
        </w:tc>
        <w:tc>
          <w:tcPr>
            <w:tcW w:w="15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52"/>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Hedge fund investment</w:t>
            </w:r>
          </w:p>
        </w:tc>
        <w:tc>
          <w:tcPr>
            <w:tcW w:w="28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236</w:t>
            </w:r>
          </w:p>
        </w:tc>
        <w:tc>
          <w:tcPr>
            <w:tcW w:w="15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r>
      <w:tr>
        <w:trPr>
          <w:trHeight w:val="25"/>
        </w:trPr>
        <w:tc>
          <w:tcPr>
            <w:tcW w:w="41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of postretirement assets at September 24, 2023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28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NAV</w:t>
            </w:r>
          </w:p>
        </w:tc>
        <w:tc>
          <w:tcPr>
            <w:tcW w:w="1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Level 1</w:t>
            </w:r>
          </w:p>
        </w:tc>
        <w:tc>
          <w:tcPr>
            <w:tcW w:w="15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Level 2</w:t>
            </w:r>
          </w:p>
        </w:tc>
        <w:tc>
          <w:tcPr>
            <w:tcW w:w="110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99"/>
              </w:rPr>
              <w:t>Level 3</w:t>
            </w:r>
          </w:p>
        </w:tc>
      </w:tr>
      <w:tr>
        <w:trPr>
          <w:trHeight w:val="255"/>
        </w:trPr>
        <w:tc>
          <w:tcPr>
            <w:tcW w:w="418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6"/>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8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93</w:t>
            </w:r>
          </w:p>
        </w:tc>
        <w:tc>
          <w:tcPr>
            <w:tcW w:w="15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52"/>
        </w:trPr>
        <w:tc>
          <w:tcPr>
            <w:tcW w:w="4180" w:type="dxa"/>
            <w:vAlign w:val="bottom"/>
          </w:tcPr>
          <w:p>
            <w:pPr>
              <w:ind w:left="20"/>
              <w:spacing w:after="0"/>
              <w:rPr>
                <w:sz w:val="20"/>
                <w:szCs w:val="20"/>
                <w:color w:val="auto"/>
              </w:rPr>
            </w:pPr>
            <w:r>
              <w:rPr>
                <w:rFonts w:ascii="Arial" w:cs="Arial" w:eastAsia="Arial" w:hAnsi="Arial"/>
                <w:sz w:val="18"/>
                <w:szCs w:val="18"/>
                <w:color w:val="auto"/>
              </w:rPr>
              <w:t>Domestic equity securities</w:t>
            </w:r>
          </w:p>
        </w:tc>
        <w:tc>
          <w:tcPr>
            <w:tcW w:w="2800" w:type="dxa"/>
            <w:vAlign w:val="bottom"/>
          </w:tcPr>
          <w:p>
            <w:pPr>
              <w:jc w:val="right"/>
              <w:ind w:right="450"/>
              <w:spacing w:after="0"/>
              <w:rPr>
                <w:sz w:val="20"/>
                <w:szCs w:val="20"/>
                <w:color w:val="auto"/>
              </w:rPr>
            </w:pPr>
            <w:r>
              <w:rPr>
                <w:rFonts w:ascii="Arial" w:cs="Arial" w:eastAsia="Arial" w:hAnsi="Arial"/>
                <w:sz w:val="18"/>
                <w:szCs w:val="18"/>
                <w:color w:val="auto"/>
              </w:rPr>
              <w:t>870</w:t>
            </w:r>
          </w:p>
        </w:tc>
        <w:tc>
          <w:tcPr>
            <w:tcW w:w="1580" w:type="dxa"/>
            <w:vAlign w:val="bottom"/>
          </w:tcPr>
          <w:p>
            <w:pPr>
              <w:jc w:val="right"/>
              <w:ind w:right="450"/>
              <w:spacing w:after="0"/>
              <w:rPr>
                <w:sz w:val="20"/>
                <w:szCs w:val="20"/>
                <w:color w:val="auto"/>
              </w:rPr>
            </w:pPr>
            <w:r>
              <w:rPr>
                <w:rFonts w:ascii="Arial" w:cs="Arial" w:eastAsia="Arial" w:hAnsi="Arial"/>
                <w:sz w:val="18"/>
                <w:szCs w:val="18"/>
                <w:color w:val="auto"/>
              </w:rPr>
              <w:t>2,303</w:t>
            </w:r>
          </w:p>
        </w:tc>
        <w:tc>
          <w:tcPr>
            <w:tcW w:w="15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10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61"/>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Emerging equity securities</w:t>
            </w:r>
          </w:p>
        </w:tc>
        <w:tc>
          <w:tcPr>
            <w:tcW w:w="28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535</w:t>
            </w:r>
          </w:p>
        </w:tc>
        <w:tc>
          <w:tcPr>
            <w:tcW w:w="15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52"/>
        </w:trPr>
        <w:tc>
          <w:tcPr>
            <w:tcW w:w="4180" w:type="dxa"/>
            <w:vAlign w:val="bottom"/>
          </w:tcPr>
          <w:p>
            <w:pPr>
              <w:ind w:left="20"/>
              <w:spacing w:after="0"/>
              <w:rPr>
                <w:sz w:val="20"/>
                <w:szCs w:val="20"/>
                <w:color w:val="auto"/>
              </w:rPr>
            </w:pPr>
            <w:r>
              <w:rPr>
                <w:rFonts w:ascii="Arial" w:cs="Arial" w:eastAsia="Arial" w:hAnsi="Arial"/>
                <w:sz w:val="18"/>
                <w:szCs w:val="18"/>
                <w:color w:val="auto"/>
              </w:rPr>
              <w:t>International equity securities</w:t>
            </w:r>
          </w:p>
        </w:tc>
        <w:tc>
          <w:tcPr>
            <w:tcW w:w="28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50"/>
              <w:spacing w:after="0"/>
              <w:rPr>
                <w:sz w:val="20"/>
                <w:szCs w:val="20"/>
                <w:color w:val="auto"/>
              </w:rPr>
            </w:pPr>
            <w:r>
              <w:rPr>
                <w:rFonts w:ascii="Arial" w:cs="Arial" w:eastAsia="Arial" w:hAnsi="Arial"/>
                <w:sz w:val="18"/>
                <w:szCs w:val="18"/>
                <w:color w:val="auto"/>
              </w:rPr>
              <w:t>814</w:t>
            </w:r>
          </w:p>
        </w:tc>
        <w:tc>
          <w:tcPr>
            <w:tcW w:w="1580" w:type="dxa"/>
            <w:vAlign w:val="bottom"/>
          </w:tcPr>
          <w:p>
            <w:pPr>
              <w:jc w:val="right"/>
              <w:ind w:right="470"/>
              <w:spacing w:after="0"/>
              <w:rPr>
                <w:sz w:val="20"/>
                <w:szCs w:val="20"/>
                <w:color w:val="auto"/>
              </w:rPr>
            </w:pPr>
            <w:r>
              <w:rPr>
                <w:rFonts w:ascii="Arial" w:cs="Arial" w:eastAsia="Arial" w:hAnsi="Arial"/>
                <w:sz w:val="18"/>
                <w:szCs w:val="18"/>
                <w:color w:val="auto"/>
              </w:rPr>
              <w:t>600</w:t>
            </w:r>
          </w:p>
        </w:tc>
        <w:tc>
          <w:tcPr>
            <w:tcW w:w="110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61"/>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securities</w:t>
            </w:r>
          </w:p>
        </w:tc>
        <w:tc>
          <w:tcPr>
            <w:tcW w:w="28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17,615</w:t>
            </w:r>
          </w:p>
        </w:tc>
        <w:tc>
          <w:tcPr>
            <w:tcW w:w="15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52"/>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Hedge fund investment</w:t>
            </w:r>
          </w:p>
        </w:tc>
        <w:tc>
          <w:tcPr>
            <w:tcW w:w="28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2,979</w:t>
            </w:r>
          </w:p>
        </w:tc>
        <w:tc>
          <w:tcPr>
            <w:tcW w:w="15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r>
      <w:tr>
        <w:trPr>
          <w:trHeight w:val="25"/>
        </w:trPr>
        <w:tc>
          <w:tcPr>
            <w:tcW w:w="41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were no purchases, sales or transfers of assets classified as Level 3 in 2024 or 2023</w:t>
      </w:r>
      <w:r>
        <w:rPr>
          <w:rFonts w:ascii="Arial" w:cs="Arial" w:eastAsia="Arial" w:hAnsi="Arial"/>
          <w:sz w:val="18"/>
          <w:szCs w:val="18"/>
          <w:i w:val="1"/>
          <w:iCs w:val="1"/>
          <w:color w:val="auto"/>
        </w:rPr>
        <w:t>.</w:t>
      </w:r>
      <w:r>
        <w:rPr>
          <w:rFonts w:ascii="Arial" w:cs="Arial" w:eastAsia="Arial" w:hAnsi="Arial"/>
          <w:sz w:val="18"/>
          <w:szCs w:val="18"/>
          <w:color w:val="auto"/>
        </w:rPr>
        <w:t xml:space="preserve"> Postretirement assets that are excluded from the fair value hierarchy and are measured at net asset value or "NAV", include two investments:</w:t>
      </w:r>
    </w:p>
    <w:p>
      <w:pPr>
        <w:spacing w:after="0" w:line="166" w:lineRule="exact"/>
        <w:rPr>
          <w:sz w:val="20"/>
          <w:szCs w:val="20"/>
          <w:color w:val="auto"/>
        </w:rPr>
      </w:pPr>
    </w:p>
    <w:p>
      <w:pPr>
        <w:jc w:val="both"/>
        <w:ind w:left="940" w:right="20" w:hanging="361"/>
        <w:spacing w:after="0" w:line="260" w:lineRule="auto"/>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U.S. small cap value equity common/collective fund for which fund prices are not publicly available. The balance of this investment is $— and $0.9 million as of September 29, 2024 and September 24, 2023, respectively. We can redeem this fund on a monthly basis.</w:t>
      </w:r>
    </w:p>
    <w:p>
      <w:pPr>
        <w:spacing w:after="0" w:line="2" w:lineRule="exact"/>
        <w:rPr>
          <w:rFonts w:ascii="Arial" w:cs="Arial" w:eastAsia="Arial" w:hAnsi="Arial"/>
          <w:sz w:val="18"/>
          <w:szCs w:val="18"/>
          <w:color w:val="auto"/>
        </w:rPr>
      </w:pPr>
    </w:p>
    <w:p>
      <w:pPr>
        <w:jc w:val="both"/>
        <w:ind w:left="940" w:right="20" w:hanging="361"/>
        <w:spacing w:after="0" w:line="252" w:lineRule="auto"/>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Global equity long/short common/collective hedge fund-of-funds for which fund prices are established on a monthly basis. The balance of this investment is $0.2 million and $3.0 million as of September 29, 2024 and September 24, 2023, respectively. We can redeem up to 90% of our investment in this fund within 90-120 days of notice with the remaining distributed following completion of the audit of the Fund's financial statements for the year.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Based on our forecast at September 29, 2024, we do not expect to contribute to our postretirement plans in 2025</w:t>
      </w:r>
      <w:r>
        <w:rPr>
          <w:rFonts w:ascii="Arial" w:cs="Arial" w:eastAsia="Arial" w:hAnsi="Arial"/>
          <w:sz w:val="18"/>
          <w:szCs w:val="18"/>
          <w:i w:val="1"/>
          <w:iCs w:val="1"/>
          <w:color w:val="auto"/>
        </w:rPr>
        <w:t>.</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Medicare Prescription Drug, Improvement and Modernization Act of 2003 (the “Modernization Act”) introduced a prescription drug benefit under Medicare (“Medicare Part D”) and a federal subsidy to sponsors of retiree health care benefit plans (“Subsidy”) that provide a benefit at least actuarially equivalent (as that term is defined in the Modernization Act) to Medicare Part D. We concluded we qualify for the Subsidy under the Modernization Act since the prescription drug benefits provided under our postretirement health care plans generally require lower premiums from covered retirees and have lower deductibles than the benefits provided in Medicare Part D and, accordingly, are actuarially equivalent to or better than, the benefits provided under the Modernization Act.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We anticipate future benefit payments to be paid either with future contributions to the plan or directly from plan assets,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760" w:type="dxa"/>
            <w:vAlign w:val="bottom"/>
          </w:tcPr>
          <w:p>
            <w:pPr>
              <w:jc w:val="right"/>
              <w:ind w:right="410"/>
              <w:spacing w:after="0"/>
              <w:rPr>
                <w:sz w:val="20"/>
                <w:szCs w:val="20"/>
                <w:color w:val="auto"/>
              </w:rPr>
            </w:pPr>
            <w:r>
              <w:rPr>
                <w:rFonts w:ascii="Arial" w:cs="Arial" w:eastAsia="Arial" w:hAnsi="Arial"/>
                <w:sz w:val="18"/>
                <w:szCs w:val="18"/>
                <w:color w:val="auto"/>
              </w:rPr>
              <w:t>Less</w:t>
            </w:r>
          </w:p>
        </w:tc>
        <w:tc>
          <w:tcPr>
            <w:tcW w:w="1320" w:type="dxa"/>
            <w:vAlign w:val="bottom"/>
          </w:tcPr>
          <w:p>
            <w:pPr>
              <w:spacing w:after="0"/>
              <w:rPr>
                <w:sz w:val="18"/>
                <w:szCs w:val="18"/>
                <w:color w:val="auto"/>
              </w:rPr>
            </w:pPr>
          </w:p>
        </w:tc>
      </w:tr>
      <w:tr>
        <w:trPr>
          <w:trHeight w:val="203"/>
        </w:trPr>
        <w:tc>
          <w:tcPr>
            <w:tcW w:w="42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76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Medicare</w:t>
            </w:r>
          </w:p>
        </w:tc>
        <w:tc>
          <w:tcPr>
            <w:tcW w:w="1320" w:type="dxa"/>
            <w:vAlign w:val="bottom"/>
          </w:tcPr>
          <w:p>
            <w:pPr>
              <w:spacing w:after="0"/>
              <w:rPr>
                <w:sz w:val="17"/>
                <w:szCs w:val="17"/>
                <w:color w:val="auto"/>
              </w:rPr>
            </w:pPr>
          </w:p>
        </w:tc>
      </w:tr>
      <w:tr>
        <w:trPr>
          <w:trHeight w:val="203"/>
        </w:trPr>
        <w:tc>
          <w:tcPr>
            <w:tcW w:w="4240" w:type="dxa"/>
            <w:vAlign w:val="bottom"/>
          </w:tcPr>
          <w:p>
            <w:pPr>
              <w:spacing w:after="0"/>
              <w:rPr>
                <w:sz w:val="17"/>
                <w:szCs w:val="17"/>
                <w:color w:val="auto"/>
              </w:rPr>
            </w:pPr>
          </w:p>
        </w:tc>
        <w:tc>
          <w:tcPr>
            <w:tcW w:w="392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Gross</w:t>
            </w:r>
          </w:p>
        </w:tc>
        <w:tc>
          <w:tcPr>
            <w:tcW w:w="176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Part D</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Net</w:t>
            </w:r>
          </w:p>
        </w:tc>
      </w:tr>
      <w:tr>
        <w:trPr>
          <w:trHeight w:val="244"/>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3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Payments</w:t>
            </w:r>
          </w:p>
        </w:tc>
        <w:tc>
          <w:tcPr>
            <w:tcW w:w="17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Subsidy</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Payments</w:t>
            </w:r>
          </w:p>
        </w:tc>
      </w:tr>
      <w:tr>
        <w:trPr>
          <w:trHeight w:val="255"/>
        </w:trPr>
        <w:tc>
          <w:tcPr>
            <w:tcW w:w="424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5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9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853</w:t>
            </w:r>
          </w:p>
        </w:tc>
        <w:tc>
          <w:tcPr>
            <w:tcW w:w="176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r>
      <w:tr>
        <w:trPr>
          <w:trHeight w:val="252"/>
        </w:trPr>
        <w:tc>
          <w:tcPr>
            <w:tcW w:w="4240" w:type="dxa"/>
            <w:vAlign w:val="bottom"/>
          </w:tcPr>
          <w:p>
            <w:pPr>
              <w:ind w:left="20"/>
              <w:spacing w:after="0"/>
              <w:rPr>
                <w:sz w:val="20"/>
                <w:szCs w:val="20"/>
                <w:color w:val="auto"/>
              </w:rPr>
            </w:pPr>
            <w:r>
              <w:rPr>
                <w:rFonts w:ascii="Arial" w:cs="Arial" w:eastAsia="Arial" w:hAnsi="Arial"/>
                <w:sz w:val="18"/>
                <w:szCs w:val="18"/>
                <w:color w:val="auto"/>
              </w:rPr>
              <w:t>2026</w:t>
            </w:r>
          </w:p>
        </w:tc>
        <w:tc>
          <w:tcPr>
            <w:tcW w:w="3920" w:type="dxa"/>
            <w:vAlign w:val="bottom"/>
          </w:tcPr>
          <w:p>
            <w:pPr>
              <w:jc w:val="right"/>
              <w:ind w:right="490"/>
              <w:spacing w:after="0"/>
              <w:rPr>
                <w:sz w:val="20"/>
                <w:szCs w:val="20"/>
                <w:color w:val="auto"/>
              </w:rPr>
            </w:pPr>
            <w:r>
              <w:rPr>
                <w:rFonts w:ascii="Arial" w:cs="Arial" w:eastAsia="Arial" w:hAnsi="Arial"/>
                <w:sz w:val="18"/>
                <w:szCs w:val="18"/>
                <w:color w:val="auto"/>
              </w:rPr>
              <w:t>891</w:t>
            </w:r>
          </w:p>
        </w:tc>
        <w:tc>
          <w:tcPr>
            <w:tcW w:w="1760" w:type="dxa"/>
            <w:vAlign w:val="bottom"/>
          </w:tcPr>
          <w:p>
            <w:pPr>
              <w:ind w:left="10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891</w:t>
            </w:r>
          </w:p>
        </w:tc>
      </w:tr>
      <w:tr>
        <w:trPr>
          <w:trHeight w:val="261"/>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39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909</w:t>
            </w:r>
          </w:p>
        </w:tc>
        <w:tc>
          <w:tcPr>
            <w:tcW w:w="176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r>
      <w:tr>
        <w:trPr>
          <w:trHeight w:val="252"/>
        </w:trPr>
        <w:tc>
          <w:tcPr>
            <w:tcW w:w="4240" w:type="dxa"/>
            <w:vAlign w:val="bottom"/>
          </w:tcPr>
          <w:p>
            <w:pPr>
              <w:ind w:left="20"/>
              <w:spacing w:after="0"/>
              <w:rPr>
                <w:sz w:val="20"/>
                <w:szCs w:val="20"/>
                <w:color w:val="auto"/>
              </w:rPr>
            </w:pPr>
            <w:r>
              <w:rPr>
                <w:rFonts w:ascii="Arial" w:cs="Arial" w:eastAsia="Arial" w:hAnsi="Arial"/>
                <w:sz w:val="18"/>
                <w:szCs w:val="18"/>
                <w:color w:val="auto"/>
              </w:rPr>
              <w:t>2028</w:t>
            </w:r>
          </w:p>
        </w:tc>
        <w:tc>
          <w:tcPr>
            <w:tcW w:w="3920" w:type="dxa"/>
            <w:vAlign w:val="bottom"/>
          </w:tcPr>
          <w:p>
            <w:pPr>
              <w:jc w:val="right"/>
              <w:ind w:right="490"/>
              <w:spacing w:after="0"/>
              <w:rPr>
                <w:sz w:val="20"/>
                <w:szCs w:val="20"/>
                <w:color w:val="auto"/>
              </w:rPr>
            </w:pPr>
            <w:r>
              <w:rPr>
                <w:rFonts w:ascii="Arial" w:cs="Arial" w:eastAsia="Arial" w:hAnsi="Arial"/>
                <w:sz w:val="18"/>
                <w:szCs w:val="18"/>
                <w:color w:val="auto"/>
              </w:rPr>
              <w:t>898</w:t>
            </w:r>
          </w:p>
        </w:tc>
        <w:tc>
          <w:tcPr>
            <w:tcW w:w="1760" w:type="dxa"/>
            <w:vAlign w:val="bottom"/>
          </w:tcPr>
          <w:p>
            <w:pPr>
              <w:ind w:left="10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898</w:t>
            </w:r>
          </w:p>
        </w:tc>
      </w:tr>
      <w:tr>
        <w:trPr>
          <w:trHeight w:val="261"/>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2029</w:t>
            </w:r>
          </w:p>
        </w:tc>
        <w:tc>
          <w:tcPr>
            <w:tcW w:w="39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881</w:t>
            </w:r>
          </w:p>
        </w:tc>
        <w:tc>
          <w:tcPr>
            <w:tcW w:w="176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r>
      <w:tr>
        <w:trPr>
          <w:trHeight w:val="252"/>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2030-2033</w:t>
            </w:r>
          </w:p>
        </w:tc>
        <w:tc>
          <w:tcPr>
            <w:tcW w:w="39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3,990</w:t>
            </w:r>
          </w:p>
        </w:tc>
        <w:tc>
          <w:tcPr>
            <w:tcW w:w="176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3,990</w:t>
            </w:r>
          </w:p>
        </w:tc>
      </w:tr>
      <w:tr>
        <w:trPr>
          <w:trHeight w:val="25"/>
        </w:trPr>
        <w:tc>
          <w:tcPr>
            <w:tcW w:w="424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Plan</w:t>
      </w:r>
    </w:p>
    <w:p>
      <w:pPr>
        <w:spacing w:after="0" w:line="19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Our postemployment benefit obligation, which represents certain disability benefits, was $1.6 million at September 29, 2024 and $1.6 million at September 24, 2023.</w:t>
      </w:r>
    </w:p>
    <w:p>
      <w:pPr>
        <w:spacing w:after="0" w:line="112" w:lineRule="exact"/>
        <w:rPr>
          <w:sz w:val="20"/>
          <w:szCs w:val="20"/>
          <w:color w:val="auto"/>
        </w:rPr>
      </w:pPr>
    </w:p>
    <w:p>
      <w:pPr>
        <w:ind w:left="360" w:hanging="352"/>
        <w:spacing w:after="0"/>
        <w:tabs>
          <w:tab w:leader="none" w:pos="3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OTHER RETIREMENT PLANS</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Substantially all of our employees are eligible to participate in a qualified defined contribution retirement plan. We also have a non-qualified plan for employees whose incomes exceed qualified plan limits.</w:t>
      </w:r>
    </w:p>
    <w:p>
      <w:pPr>
        <w:spacing w:after="0" w:line="126" w:lineRule="exact"/>
        <w:rPr>
          <w:sz w:val="20"/>
          <w:szCs w:val="20"/>
          <w:color w:val="auto"/>
        </w:rPr>
      </w:pPr>
    </w:p>
    <w:p>
      <w:pPr>
        <w:ind w:right="1840"/>
        <w:spacing w:after="0" w:line="453" w:lineRule="auto"/>
        <w:rPr>
          <w:sz w:val="20"/>
          <w:szCs w:val="20"/>
          <w:color w:val="auto"/>
        </w:rPr>
      </w:pPr>
      <w:r>
        <w:rPr>
          <w:rFonts w:ascii="Arial" w:cs="Arial" w:eastAsia="Arial" w:hAnsi="Arial"/>
          <w:sz w:val="18"/>
          <w:szCs w:val="18"/>
          <w:color w:val="auto"/>
        </w:rPr>
        <w:t xml:space="preserve">The defined contribution retirement plan costs were $3.1 million in 2024, $3.5 million in 2023, and $3.6 million in 2022. </w:t>
      </w:r>
      <w:r>
        <w:rPr>
          <w:rFonts w:ascii="Arial" w:cs="Arial" w:eastAsia="Arial" w:hAnsi="Arial"/>
          <w:sz w:val="18"/>
          <w:szCs w:val="18"/>
          <w:b w:val="1"/>
          <w:bCs w:val="1"/>
          <w:color w:val="auto"/>
        </w:rPr>
        <w:t>Multiemployer Pension Plans</w:t>
      </w:r>
    </w:p>
    <w:p>
      <w:pPr>
        <w:spacing w:after="0" w:line="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contributed to various multiemployer defined benefit pension plans under the terms of collective bargaining agreements ("CBAs"). The risks of participating in these multiemployer plans are different from our Company-sponsored plans in the following aspects:</w:t>
      </w:r>
    </w:p>
    <w:p>
      <w:pPr>
        <w:spacing w:after="0" w:line="126"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do not manage the plan investments or any other aspect of plan administration;</w:t>
      </w:r>
    </w:p>
    <w:p>
      <w:pPr>
        <w:spacing w:after="0" w:line="184"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Assets contributed to the multiemployer plan by one employer may be used to provide benefits to employees of other participating employers;</w:t>
      </w:r>
    </w:p>
    <w:p>
      <w:pPr>
        <w:spacing w:after="0" w:line="11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a participating employer stops contributing to the plan, the unfunded obligations of the plan may be borne by the remaining participating employers; and</w:t>
      </w:r>
    </w:p>
    <w:p>
      <w:pPr>
        <w:spacing w:after="0" w:line="1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we choose to stop participating in one or more multiemployer plans, we may be required to fund over time an amount based on the unfunded status of the plan at the time of withdrawal, referred to as a "withdrawal liability".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these plans is outlined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Funding</w:t>
            </w: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Improvement</w:t>
            </w: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Plan/Rehabilitation</w:t>
            </w: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40" w:type="dxa"/>
            <w:vAlign w:val="bottom"/>
          </w:tcPr>
          <w:p>
            <w:pPr>
              <w:ind w:left="20"/>
              <w:spacing w:after="0"/>
              <w:rPr>
                <w:sz w:val="20"/>
                <w:szCs w:val="20"/>
                <w:color w:val="auto"/>
              </w:rPr>
            </w:pPr>
            <w:r>
              <w:rPr>
                <w:rFonts w:ascii="Arial" w:cs="Arial" w:eastAsia="Arial" w:hAnsi="Arial"/>
                <w:sz w:val="16"/>
                <w:szCs w:val="16"/>
                <w:color w:val="auto"/>
              </w:rPr>
              <w:t>(Thousands of</w:t>
            </w:r>
          </w:p>
        </w:tc>
        <w:tc>
          <w:tcPr>
            <w:tcW w:w="9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Zone Status</w:t>
            </w: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Plan</w:t>
            </w: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Dollars)</w:t>
            </w:r>
          </w:p>
        </w:tc>
        <w:tc>
          <w:tcPr>
            <w:tcW w:w="19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September 30</w:t>
            </w:r>
          </w:p>
        </w:tc>
        <w:tc>
          <w:tcPr>
            <w:tcW w:w="16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Status</w:t>
            </w:r>
          </w:p>
        </w:tc>
        <w:tc>
          <w:tcPr>
            <w:tcW w:w="7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6"/>
                <w:szCs w:val="16"/>
                <w:color w:val="auto"/>
              </w:rPr>
              <w:t>Contributions</w:t>
            </w:r>
          </w:p>
        </w:tc>
        <w:tc>
          <w:tcPr>
            <w:tcW w:w="1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1640" w:type="dxa"/>
            <w:vAlign w:val="bottom"/>
            <w:vMerge w:val="restart"/>
          </w:tcPr>
          <w:p>
            <w:pPr>
              <w:ind w:left="20"/>
              <w:spacing w:after="0"/>
              <w:rPr>
                <w:sz w:val="20"/>
                <w:szCs w:val="20"/>
                <w:color w:val="auto"/>
              </w:rPr>
            </w:pPr>
            <w:r>
              <w:rPr>
                <w:rFonts w:ascii="Arial" w:cs="Arial" w:eastAsia="Arial" w:hAnsi="Arial"/>
                <w:sz w:val="16"/>
                <w:szCs w:val="16"/>
                <w:color w:val="auto"/>
              </w:rPr>
              <w:t>Pension Plan</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2024</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2023</w:t>
            </w:r>
          </w:p>
        </w:tc>
        <w:tc>
          <w:tcPr>
            <w:tcW w:w="1620" w:type="dxa"/>
            <w:vAlign w:val="bottom"/>
            <w:vMerge w:val="restart"/>
          </w:tcPr>
          <w:p>
            <w:pPr>
              <w:jc w:val="right"/>
              <w:ind w:right="99"/>
              <w:spacing w:after="0"/>
              <w:rPr>
                <w:sz w:val="20"/>
                <w:szCs w:val="20"/>
                <w:color w:val="auto"/>
              </w:rPr>
            </w:pPr>
            <w:r>
              <w:rPr>
                <w:rFonts w:ascii="Arial" w:cs="Arial" w:eastAsia="Arial" w:hAnsi="Arial"/>
                <w:sz w:val="16"/>
                <w:szCs w:val="16"/>
                <w:color w:val="auto"/>
              </w:rPr>
              <w:t>Status</w:t>
            </w:r>
          </w:p>
        </w:tc>
        <w:tc>
          <w:tcPr>
            <w:tcW w:w="740" w:type="dxa"/>
            <w:vAlign w:val="bottom"/>
            <w:vMerge w:val="restart"/>
          </w:tcPr>
          <w:p>
            <w:pPr>
              <w:jc w:val="right"/>
              <w:ind w:right="99"/>
              <w:spacing w:after="0"/>
              <w:rPr>
                <w:sz w:val="20"/>
                <w:szCs w:val="20"/>
                <w:color w:val="auto"/>
              </w:rPr>
            </w:pPr>
            <w:r>
              <w:rPr>
                <w:rFonts w:ascii="Arial" w:cs="Arial" w:eastAsia="Arial" w:hAnsi="Arial"/>
                <w:sz w:val="16"/>
                <w:szCs w:val="16"/>
                <w:color w:val="auto"/>
              </w:rPr>
              <w:t>2024</w:t>
            </w:r>
          </w:p>
        </w:tc>
        <w:tc>
          <w:tcPr>
            <w:tcW w:w="740" w:type="dxa"/>
            <w:vAlign w:val="bottom"/>
            <w:vMerge w:val="restart"/>
          </w:tcPr>
          <w:p>
            <w:pPr>
              <w:jc w:val="right"/>
              <w:ind w:right="99"/>
              <w:spacing w:after="0"/>
              <w:rPr>
                <w:sz w:val="20"/>
                <w:szCs w:val="20"/>
                <w:color w:val="auto"/>
              </w:rPr>
            </w:pPr>
            <w:r>
              <w:rPr>
                <w:rFonts w:ascii="Arial" w:cs="Arial" w:eastAsia="Arial" w:hAnsi="Arial"/>
                <w:sz w:val="16"/>
                <w:szCs w:val="16"/>
                <w:color w:val="auto"/>
              </w:rPr>
              <w:t>2023</w:t>
            </w:r>
          </w:p>
        </w:tc>
        <w:tc>
          <w:tcPr>
            <w:tcW w:w="760" w:type="dxa"/>
            <w:vAlign w:val="bottom"/>
            <w:vMerge w:val="restart"/>
          </w:tcPr>
          <w:p>
            <w:pPr>
              <w:jc w:val="right"/>
              <w:ind w:right="119"/>
              <w:spacing w:after="0"/>
              <w:rPr>
                <w:sz w:val="20"/>
                <w:szCs w:val="20"/>
                <w:color w:val="auto"/>
              </w:rPr>
            </w:pPr>
            <w:r>
              <w:rPr>
                <w:rFonts w:ascii="Arial" w:cs="Arial" w:eastAsia="Arial" w:hAnsi="Arial"/>
                <w:sz w:val="16"/>
                <w:szCs w:val="16"/>
                <w:color w:val="auto"/>
              </w:rPr>
              <w:t>2022</w:t>
            </w:r>
          </w:p>
        </w:tc>
        <w:tc>
          <w:tcPr>
            <w:tcW w:w="1100" w:type="dxa"/>
            <w:vAlign w:val="bottom"/>
          </w:tcPr>
          <w:p>
            <w:pPr>
              <w:jc w:val="right"/>
              <w:ind w:right="79"/>
              <w:spacing w:after="0" w:line="157" w:lineRule="exact"/>
              <w:rPr>
                <w:sz w:val="20"/>
                <w:szCs w:val="20"/>
                <w:color w:val="auto"/>
              </w:rPr>
            </w:pPr>
            <w:r>
              <w:rPr>
                <w:rFonts w:ascii="Arial" w:cs="Arial" w:eastAsia="Arial" w:hAnsi="Arial"/>
                <w:sz w:val="16"/>
                <w:szCs w:val="16"/>
                <w:color w:val="auto"/>
              </w:rPr>
              <w:t>Surcharge</w:t>
            </w:r>
          </w:p>
        </w:tc>
        <w:tc>
          <w:tcPr>
            <w:tcW w:w="1180" w:type="dxa"/>
            <w:vAlign w:val="bottom"/>
            <w:vMerge w:val="restart"/>
          </w:tcPr>
          <w:p>
            <w:pPr>
              <w:jc w:val="right"/>
              <w:ind w:right="519"/>
              <w:spacing w:after="0"/>
              <w:rPr>
                <w:sz w:val="20"/>
                <w:szCs w:val="20"/>
                <w:color w:val="auto"/>
              </w:rPr>
            </w:pPr>
            <w:r>
              <w:rPr>
                <w:rFonts w:ascii="Arial" w:cs="Arial" w:eastAsia="Arial" w:hAnsi="Arial"/>
                <w:sz w:val="16"/>
                <w:szCs w:val="16"/>
                <w:color w:val="auto"/>
              </w:rPr>
              <w:t>EIN</w:t>
            </w:r>
          </w:p>
        </w:tc>
        <w:tc>
          <w:tcPr>
            <w:tcW w:w="1520" w:type="dxa"/>
            <w:vAlign w:val="bottom"/>
          </w:tcPr>
          <w:p>
            <w:pPr>
              <w:jc w:val="right"/>
              <w:spacing w:after="0" w:line="157" w:lineRule="exact"/>
              <w:rPr>
                <w:sz w:val="20"/>
                <w:szCs w:val="20"/>
                <w:color w:val="auto"/>
              </w:rPr>
            </w:pPr>
            <w:r>
              <w:rPr>
                <w:rFonts w:ascii="Arial" w:cs="Arial" w:eastAsia="Arial" w:hAnsi="Arial"/>
                <w:sz w:val="16"/>
                <w:szCs w:val="16"/>
                <w:color w:val="auto"/>
              </w:rPr>
              <w:t>Expiration Dates of</w:t>
            </w:r>
          </w:p>
        </w:tc>
        <w:tc>
          <w:tcPr>
            <w:tcW w:w="0" w:type="dxa"/>
            <w:vAlign w:val="bottom"/>
          </w:tcPr>
          <w:p>
            <w:pPr>
              <w:spacing w:after="0"/>
              <w:rPr>
                <w:sz w:val="1"/>
                <w:szCs w:val="1"/>
                <w:color w:val="auto"/>
              </w:rPr>
            </w:pPr>
          </w:p>
        </w:tc>
      </w:tr>
      <w:tr>
        <w:trPr>
          <w:trHeight w:val="215"/>
        </w:trPr>
        <w:tc>
          <w:tcPr>
            <w:tcW w:w="164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62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Imposed</w:t>
            </w:r>
          </w:p>
        </w:tc>
        <w:tc>
          <w:tcPr>
            <w:tcW w:w="1180" w:type="dxa"/>
            <w:vAlign w:val="bottom"/>
            <w:tcBorders>
              <w:bottom w:val="single" w:sz="8" w:color="auto"/>
            </w:tcBorders>
            <w:vMerge w:val="continue"/>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CBAs</w:t>
            </w:r>
          </w:p>
        </w:tc>
        <w:tc>
          <w:tcPr>
            <w:tcW w:w="0" w:type="dxa"/>
            <w:vAlign w:val="bottom"/>
          </w:tcPr>
          <w:p>
            <w:pPr>
              <w:spacing w:after="0"/>
              <w:rPr>
                <w:sz w:val="1"/>
                <w:szCs w:val="1"/>
                <w:color w:val="auto"/>
              </w:rPr>
            </w:pPr>
          </w:p>
        </w:tc>
      </w:tr>
      <w:tr>
        <w:trPr>
          <w:trHeight w:val="251"/>
        </w:trPr>
        <w:tc>
          <w:tcPr>
            <w:tcW w:w="16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640" w:type="dxa"/>
            <w:vAlign w:val="bottom"/>
          </w:tcPr>
          <w:p>
            <w:pPr>
              <w:ind w:left="20"/>
              <w:spacing w:after="0" w:line="175" w:lineRule="exact"/>
              <w:rPr>
                <w:sz w:val="20"/>
                <w:szCs w:val="20"/>
                <w:color w:val="auto"/>
              </w:rPr>
            </w:pPr>
            <w:r>
              <w:rPr>
                <w:rFonts w:ascii="Arial" w:cs="Arial" w:eastAsia="Arial" w:hAnsi="Arial"/>
                <w:sz w:val="16"/>
                <w:szCs w:val="16"/>
                <w:color w:val="auto"/>
              </w:rPr>
              <w:t>GCIU- Employer</w:t>
            </w:r>
          </w:p>
        </w:tc>
        <w:tc>
          <w:tcPr>
            <w:tcW w:w="980" w:type="dxa"/>
            <w:vAlign w:val="bottom"/>
          </w:tcPr>
          <w:p>
            <w:pPr>
              <w:jc w:val="right"/>
              <w:spacing w:after="0" w:line="175" w:lineRule="exact"/>
              <w:rPr>
                <w:sz w:val="20"/>
                <w:szCs w:val="20"/>
                <w:color w:val="auto"/>
              </w:rPr>
            </w:pPr>
            <w:r>
              <w:rPr>
                <w:rFonts w:ascii="Arial" w:cs="Arial" w:eastAsia="Arial" w:hAnsi="Arial"/>
                <w:sz w:val="16"/>
                <w:szCs w:val="16"/>
                <w:color w:val="auto"/>
              </w:rPr>
              <w:t>Critical</w:t>
            </w:r>
          </w:p>
        </w:tc>
        <w:tc>
          <w:tcPr>
            <w:tcW w:w="960" w:type="dxa"/>
            <w:vAlign w:val="bottom"/>
          </w:tcPr>
          <w:p>
            <w:pPr>
              <w:jc w:val="right"/>
              <w:spacing w:after="0" w:line="175" w:lineRule="exact"/>
              <w:rPr>
                <w:sz w:val="20"/>
                <w:szCs w:val="20"/>
                <w:color w:val="auto"/>
              </w:rPr>
            </w:pPr>
            <w:r>
              <w:rPr>
                <w:rFonts w:ascii="Arial" w:cs="Arial" w:eastAsia="Arial" w:hAnsi="Arial"/>
                <w:sz w:val="16"/>
                <w:szCs w:val="16"/>
                <w:color w:val="auto"/>
              </w:rPr>
              <w:t>Critical</w:t>
            </w:r>
          </w:p>
        </w:tc>
        <w:tc>
          <w:tcPr>
            <w:tcW w:w="1620" w:type="dxa"/>
            <w:vAlign w:val="bottom"/>
          </w:tcPr>
          <w:p>
            <w:pPr>
              <w:jc w:val="right"/>
              <w:ind w:right="99"/>
              <w:spacing w:after="0" w:line="175" w:lineRule="exact"/>
              <w:rPr>
                <w:sz w:val="20"/>
                <w:szCs w:val="20"/>
                <w:color w:val="auto"/>
              </w:rPr>
            </w:pPr>
            <w:r>
              <w:rPr>
                <w:rFonts w:ascii="Arial" w:cs="Arial" w:eastAsia="Arial" w:hAnsi="Arial"/>
                <w:sz w:val="16"/>
                <w:szCs w:val="16"/>
                <w:color w:val="auto"/>
              </w:rPr>
              <w:t>Implemented</w:t>
            </w:r>
          </w:p>
        </w:tc>
        <w:tc>
          <w:tcPr>
            <w:tcW w:w="740" w:type="dxa"/>
            <w:vAlign w:val="bottom"/>
          </w:tcPr>
          <w:p>
            <w:pPr>
              <w:jc w:val="right"/>
              <w:ind w:right="99"/>
              <w:spacing w:after="0" w:line="175" w:lineRule="exact"/>
              <w:rPr>
                <w:sz w:val="20"/>
                <w:szCs w:val="20"/>
                <w:color w:val="auto"/>
              </w:rPr>
            </w:pPr>
            <w:r>
              <w:rPr>
                <w:rFonts w:ascii="Arial" w:cs="Arial" w:eastAsia="Arial" w:hAnsi="Arial"/>
                <w:sz w:val="16"/>
                <w:szCs w:val="16"/>
                <w:color w:val="auto"/>
              </w:rPr>
              <w:t>—</w:t>
            </w:r>
          </w:p>
        </w:tc>
        <w:tc>
          <w:tcPr>
            <w:tcW w:w="740" w:type="dxa"/>
            <w:vAlign w:val="bottom"/>
          </w:tcPr>
          <w:p>
            <w:pPr>
              <w:jc w:val="right"/>
              <w:ind w:right="99"/>
              <w:spacing w:after="0" w:line="175" w:lineRule="exact"/>
              <w:rPr>
                <w:sz w:val="20"/>
                <w:szCs w:val="20"/>
                <w:color w:val="auto"/>
              </w:rPr>
            </w:pPr>
            <w:r>
              <w:rPr>
                <w:rFonts w:ascii="Arial" w:cs="Arial" w:eastAsia="Arial" w:hAnsi="Arial"/>
                <w:sz w:val="16"/>
                <w:szCs w:val="16"/>
                <w:color w:val="auto"/>
              </w:rPr>
              <w:t>—</w:t>
            </w:r>
          </w:p>
        </w:tc>
        <w:tc>
          <w:tcPr>
            <w:tcW w:w="760" w:type="dxa"/>
            <w:vAlign w:val="bottom"/>
          </w:tcPr>
          <w:p>
            <w:pPr>
              <w:jc w:val="right"/>
              <w:ind w:right="119"/>
              <w:spacing w:after="0" w:line="175" w:lineRule="exact"/>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line="175" w:lineRule="exact"/>
              <w:rPr>
                <w:sz w:val="20"/>
                <w:szCs w:val="20"/>
                <w:color w:val="auto"/>
              </w:rPr>
            </w:pPr>
            <w:r>
              <w:rPr>
                <w:rFonts w:ascii="Arial" w:cs="Arial" w:eastAsia="Arial" w:hAnsi="Arial"/>
                <w:sz w:val="16"/>
                <w:szCs w:val="16"/>
                <w:color w:val="auto"/>
              </w:rPr>
              <w:t>No</w:t>
            </w:r>
          </w:p>
        </w:tc>
        <w:tc>
          <w:tcPr>
            <w:tcW w:w="1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640" w:type="dxa"/>
            <w:vAlign w:val="bottom"/>
          </w:tcPr>
          <w:p>
            <w:pPr>
              <w:ind w:left="20"/>
              <w:spacing w:after="0"/>
              <w:rPr>
                <w:sz w:val="20"/>
                <w:szCs w:val="20"/>
                <w:color w:val="auto"/>
              </w:rPr>
            </w:pPr>
            <w:r>
              <w:rPr>
                <w:rFonts w:ascii="Arial" w:cs="Arial" w:eastAsia="Arial" w:hAnsi="Arial"/>
                <w:sz w:val="16"/>
                <w:szCs w:val="16"/>
                <w:color w:val="auto"/>
              </w:rPr>
              <w:t>Retirement Fund</w:t>
            </w: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91-6024903</w:t>
            </w:r>
          </w:p>
        </w:tc>
        <w:tc>
          <w:tcPr>
            <w:tcW w:w="1520" w:type="dxa"/>
            <w:vAlign w:val="bottom"/>
          </w:tcPr>
          <w:p>
            <w:pPr>
              <w:jc w:val="right"/>
              <w:spacing w:after="0"/>
              <w:rPr>
                <w:sz w:val="20"/>
                <w:szCs w:val="20"/>
                <w:color w:val="auto"/>
              </w:rPr>
            </w:pPr>
            <w:r>
              <w:rPr>
                <w:rFonts w:ascii="Arial" w:cs="Arial" w:eastAsia="Arial" w:hAnsi="Arial"/>
                <w:sz w:val="16"/>
                <w:szCs w:val="16"/>
                <w:color w:val="auto"/>
              </w:rPr>
              <w:t>N/A (1)</w:t>
            </w:r>
          </w:p>
        </w:tc>
        <w:tc>
          <w:tcPr>
            <w:tcW w:w="0" w:type="dxa"/>
            <w:vAlign w:val="bottom"/>
          </w:tcPr>
          <w:p>
            <w:pPr>
              <w:spacing w:after="0"/>
              <w:rPr>
                <w:sz w:val="1"/>
                <w:szCs w:val="1"/>
                <w:color w:val="auto"/>
              </w:rPr>
            </w:pPr>
          </w:p>
        </w:tc>
      </w:tr>
      <w:tr>
        <w:trPr>
          <w:trHeight w:val="29"/>
        </w:trPr>
        <w:tc>
          <w:tcPr>
            <w:tcW w:w="1640" w:type="dxa"/>
            <w:vAlign w:val="bottom"/>
          </w:tcPr>
          <w:p>
            <w:pPr>
              <w:spacing w:after="0"/>
              <w:rPr>
                <w:sz w:val="2"/>
                <w:szCs w:val="2"/>
                <w:color w:val="auto"/>
              </w:rPr>
            </w:pPr>
          </w:p>
        </w:tc>
        <w:tc>
          <w:tcPr>
            <w:tcW w:w="1940" w:type="dxa"/>
            <w:vAlign w:val="bottom"/>
            <w:gridSpan w:val="2"/>
          </w:tcPr>
          <w:p>
            <w:pPr>
              <w:spacing w:after="0"/>
              <w:rPr>
                <w:sz w:val="2"/>
                <w:szCs w:val="2"/>
                <w:color w:val="auto"/>
              </w:rPr>
            </w:pPr>
          </w:p>
        </w:tc>
        <w:tc>
          <w:tcPr>
            <w:tcW w:w="1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640" w:type="dxa"/>
            <w:vAlign w:val="bottom"/>
            <w:shd w:val="clear" w:color="auto" w:fill="CCEEFF"/>
          </w:tcPr>
          <w:p>
            <w:pPr>
              <w:spacing w:after="0"/>
              <w:rPr>
                <w:sz w:val="23"/>
                <w:szCs w:val="23"/>
                <w:color w:val="auto"/>
              </w:rPr>
            </w:pPr>
          </w:p>
        </w:tc>
        <w:tc>
          <w:tcPr>
            <w:tcW w:w="1940" w:type="dxa"/>
            <w:vAlign w:val="bottom"/>
            <w:gridSpan w:val="2"/>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1640" w:type="dxa"/>
            <w:vAlign w:val="bottom"/>
          </w:tcPr>
          <w:p>
            <w:pPr>
              <w:ind w:left="20"/>
              <w:spacing w:after="0" w:line="175" w:lineRule="exact"/>
              <w:rPr>
                <w:sz w:val="20"/>
                <w:szCs w:val="20"/>
                <w:color w:val="auto"/>
              </w:rPr>
            </w:pPr>
            <w:r>
              <w:rPr>
                <w:rFonts w:ascii="Arial" w:cs="Arial" w:eastAsia="Arial" w:hAnsi="Arial"/>
                <w:sz w:val="16"/>
                <w:szCs w:val="16"/>
                <w:color w:val="auto"/>
              </w:rPr>
              <w:t>District No. 9,</w:t>
            </w:r>
          </w:p>
        </w:tc>
        <w:tc>
          <w:tcPr>
            <w:tcW w:w="19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Endangered Endangered</w:t>
            </w:r>
          </w:p>
        </w:tc>
        <w:tc>
          <w:tcPr>
            <w:tcW w:w="1620" w:type="dxa"/>
            <w:vAlign w:val="bottom"/>
          </w:tcPr>
          <w:p>
            <w:pPr>
              <w:jc w:val="right"/>
              <w:ind w:right="99"/>
              <w:spacing w:after="0" w:line="175" w:lineRule="exact"/>
              <w:rPr>
                <w:sz w:val="20"/>
                <w:szCs w:val="20"/>
                <w:color w:val="auto"/>
              </w:rPr>
            </w:pPr>
            <w:r>
              <w:rPr>
                <w:rFonts w:ascii="Arial" w:cs="Arial" w:eastAsia="Arial" w:hAnsi="Arial"/>
                <w:sz w:val="16"/>
                <w:szCs w:val="16"/>
                <w:color w:val="auto"/>
              </w:rPr>
              <w:t>Implemented</w:t>
            </w:r>
          </w:p>
        </w:tc>
        <w:tc>
          <w:tcPr>
            <w:tcW w:w="740" w:type="dxa"/>
            <w:vAlign w:val="bottom"/>
          </w:tcPr>
          <w:p>
            <w:pPr>
              <w:jc w:val="right"/>
              <w:ind w:right="99"/>
              <w:spacing w:after="0" w:line="175" w:lineRule="exact"/>
              <w:rPr>
                <w:sz w:val="20"/>
                <w:szCs w:val="20"/>
                <w:color w:val="auto"/>
              </w:rPr>
            </w:pPr>
            <w:r>
              <w:rPr>
                <w:rFonts w:ascii="Arial" w:cs="Arial" w:eastAsia="Arial" w:hAnsi="Arial"/>
                <w:sz w:val="16"/>
                <w:szCs w:val="16"/>
                <w:color w:val="auto"/>
              </w:rPr>
              <w:t>—</w:t>
            </w:r>
          </w:p>
        </w:tc>
        <w:tc>
          <w:tcPr>
            <w:tcW w:w="740" w:type="dxa"/>
            <w:vAlign w:val="bottom"/>
          </w:tcPr>
          <w:p>
            <w:pPr>
              <w:jc w:val="right"/>
              <w:ind w:right="99"/>
              <w:spacing w:after="0" w:line="175" w:lineRule="exact"/>
              <w:rPr>
                <w:sz w:val="20"/>
                <w:szCs w:val="20"/>
                <w:color w:val="auto"/>
              </w:rPr>
            </w:pPr>
            <w:r>
              <w:rPr>
                <w:rFonts w:ascii="Arial" w:cs="Arial" w:eastAsia="Arial" w:hAnsi="Arial"/>
                <w:sz w:val="16"/>
                <w:szCs w:val="16"/>
                <w:color w:val="auto"/>
              </w:rPr>
              <w:t>—</w:t>
            </w:r>
          </w:p>
        </w:tc>
        <w:tc>
          <w:tcPr>
            <w:tcW w:w="760" w:type="dxa"/>
            <w:vAlign w:val="bottom"/>
          </w:tcPr>
          <w:p>
            <w:pPr>
              <w:jc w:val="right"/>
              <w:ind w:right="119"/>
              <w:spacing w:after="0" w:line="175" w:lineRule="exact"/>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line="175" w:lineRule="exact"/>
              <w:rPr>
                <w:sz w:val="20"/>
                <w:szCs w:val="20"/>
                <w:color w:val="auto"/>
              </w:rPr>
            </w:pPr>
            <w:r>
              <w:rPr>
                <w:rFonts w:ascii="Arial" w:cs="Arial" w:eastAsia="Arial" w:hAnsi="Arial"/>
                <w:sz w:val="16"/>
                <w:szCs w:val="16"/>
                <w:color w:val="auto"/>
              </w:rPr>
              <w:t>N/A</w:t>
            </w:r>
          </w:p>
        </w:tc>
        <w:tc>
          <w:tcPr>
            <w:tcW w:w="1180" w:type="dxa"/>
            <w:vAlign w:val="bottom"/>
          </w:tcPr>
          <w:p>
            <w:pPr>
              <w:jc w:val="right"/>
              <w:ind w:right="59"/>
              <w:spacing w:after="0" w:line="175" w:lineRule="exact"/>
              <w:rPr>
                <w:sz w:val="20"/>
                <w:szCs w:val="20"/>
                <w:color w:val="auto"/>
              </w:rPr>
            </w:pPr>
            <w:r>
              <w:rPr>
                <w:rFonts w:ascii="Arial" w:cs="Arial" w:eastAsia="Arial" w:hAnsi="Arial"/>
                <w:sz w:val="16"/>
                <w:szCs w:val="16"/>
                <w:color w:val="auto"/>
              </w:rPr>
              <w:t>51-0138317</w:t>
            </w:r>
          </w:p>
        </w:tc>
        <w:tc>
          <w:tcPr>
            <w:tcW w:w="1520" w:type="dxa"/>
            <w:vAlign w:val="bottom"/>
          </w:tcPr>
          <w:p>
            <w:pPr>
              <w:jc w:val="right"/>
              <w:spacing w:after="0" w:line="175" w:lineRule="exact"/>
              <w:rPr>
                <w:sz w:val="20"/>
                <w:szCs w:val="20"/>
                <w:color w:val="auto"/>
              </w:rPr>
            </w:pPr>
            <w:r>
              <w:rPr>
                <w:rFonts w:ascii="Arial" w:cs="Arial" w:eastAsia="Arial" w:hAnsi="Arial"/>
                <w:sz w:val="16"/>
                <w:szCs w:val="16"/>
                <w:color w:val="auto"/>
              </w:rPr>
              <w:t>N/A (1)</w:t>
            </w:r>
          </w:p>
        </w:tc>
        <w:tc>
          <w:tcPr>
            <w:tcW w:w="0" w:type="dxa"/>
            <w:vAlign w:val="bottom"/>
          </w:tcPr>
          <w:p>
            <w:pPr>
              <w:spacing w:after="0"/>
              <w:rPr>
                <w:sz w:val="1"/>
                <w:szCs w:val="1"/>
                <w:color w:val="auto"/>
              </w:rPr>
            </w:pPr>
          </w:p>
        </w:tc>
      </w:tr>
      <w:tr>
        <w:trPr>
          <w:trHeight w:val="189"/>
        </w:trPr>
        <w:tc>
          <w:tcPr>
            <w:tcW w:w="1640" w:type="dxa"/>
            <w:vAlign w:val="bottom"/>
          </w:tcPr>
          <w:p>
            <w:pPr>
              <w:ind w:left="20"/>
              <w:spacing w:after="0"/>
              <w:rPr>
                <w:sz w:val="20"/>
                <w:szCs w:val="20"/>
                <w:color w:val="auto"/>
              </w:rPr>
            </w:pPr>
            <w:r>
              <w:rPr>
                <w:rFonts w:ascii="Arial" w:cs="Arial" w:eastAsia="Arial" w:hAnsi="Arial"/>
                <w:sz w:val="16"/>
                <w:szCs w:val="16"/>
                <w:color w:val="auto"/>
              </w:rPr>
              <w:t>International</w:t>
            </w: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40" w:type="dxa"/>
            <w:vAlign w:val="bottom"/>
          </w:tcPr>
          <w:p>
            <w:pPr>
              <w:ind w:left="20"/>
              <w:spacing w:after="0"/>
              <w:rPr>
                <w:sz w:val="20"/>
                <w:szCs w:val="20"/>
                <w:color w:val="auto"/>
              </w:rPr>
            </w:pPr>
            <w:r>
              <w:rPr>
                <w:rFonts w:ascii="Arial" w:cs="Arial" w:eastAsia="Arial" w:hAnsi="Arial"/>
                <w:sz w:val="16"/>
                <w:szCs w:val="16"/>
                <w:color w:val="auto"/>
              </w:rPr>
              <w:t>Association of</w:t>
            </w: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640" w:type="dxa"/>
            <w:vAlign w:val="bottom"/>
          </w:tcPr>
          <w:p>
            <w:pPr>
              <w:ind w:left="20"/>
              <w:spacing w:after="0" w:line="175" w:lineRule="exact"/>
              <w:rPr>
                <w:sz w:val="20"/>
                <w:szCs w:val="20"/>
                <w:color w:val="auto"/>
              </w:rPr>
            </w:pPr>
            <w:r>
              <w:rPr>
                <w:rFonts w:ascii="Arial" w:cs="Arial" w:eastAsia="Arial" w:hAnsi="Arial"/>
                <w:sz w:val="16"/>
                <w:szCs w:val="16"/>
                <w:color w:val="auto"/>
              </w:rPr>
              <w:t>Machinists and</w:t>
            </w:r>
          </w:p>
        </w:tc>
        <w:tc>
          <w:tcPr>
            <w:tcW w:w="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640" w:type="dxa"/>
            <w:vAlign w:val="bottom"/>
          </w:tcPr>
          <w:p>
            <w:pPr>
              <w:ind w:left="20"/>
              <w:spacing w:after="0"/>
              <w:rPr>
                <w:sz w:val="20"/>
                <w:szCs w:val="20"/>
                <w:color w:val="auto"/>
              </w:rPr>
            </w:pPr>
            <w:r>
              <w:rPr>
                <w:rFonts w:ascii="Arial" w:cs="Arial" w:eastAsia="Arial" w:hAnsi="Arial"/>
                <w:sz w:val="16"/>
                <w:szCs w:val="16"/>
                <w:color w:val="auto"/>
              </w:rPr>
              <w:t>Aerospace Workers</w:t>
            </w: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640" w:type="dxa"/>
            <w:vAlign w:val="bottom"/>
          </w:tcPr>
          <w:p>
            <w:pPr>
              <w:ind w:left="20"/>
              <w:spacing w:after="0"/>
              <w:rPr>
                <w:sz w:val="20"/>
                <w:szCs w:val="20"/>
                <w:color w:val="auto"/>
              </w:rPr>
            </w:pPr>
            <w:r>
              <w:rPr>
                <w:rFonts w:ascii="Arial" w:cs="Arial" w:eastAsia="Arial" w:hAnsi="Arial"/>
                <w:sz w:val="16"/>
                <w:szCs w:val="16"/>
                <w:color w:val="auto"/>
              </w:rPr>
              <w:t>Pension Trust</w:t>
            </w: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6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1640" w:type="dxa"/>
            <w:vAlign w:val="bottom"/>
          </w:tcPr>
          <w:p>
            <w:pPr>
              <w:ind w:left="20"/>
              <w:spacing w:after="0" w:line="175" w:lineRule="exact"/>
              <w:rPr>
                <w:sz w:val="20"/>
                <w:szCs w:val="20"/>
                <w:color w:val="auto"/>
              </w:rPr>
            </w:pPr>
            <w:r>
              <w:rPr>
                <w:rFonts w:ascii="Arial" w:cs="Arial" w:eastAsia="Arial" w:hAnsi="Arial"/>
                <w:sz w:val="16"/>
                <w:szCs w:val="16"/>
                <w:color w:val="auto"/>
              </w:rPr>
              <w:t>CWA/ITU negotiated</w:t>
            </w:r>
          </w:p>
        </w:tc>
        <w:tc>
          <w:tcPr>
            <w:tcW w:w="980" w:type="dxa"/>
            <w:vAlign w:val="bottom"/>
          </w:tcPr>
          <w:p>
            <w:pPr>
              <w:jc w:val="right"/>
              <w:spacing w:after="0" w:line="175" w:lineRule="exact"/>
              <w:rPr>
                <w:sz w:val="20"/>
                <w:szCs w:val="20"/>
                <w:color w:val="auto"/>
              </w:rPr>
            </w:pPr>
            <w:r>
              <w:rPr>
                <w:rFonts w:ascii="Arial" w:cs="Arial" w:eastAsia="Arial" w:hAnsi="Arial"/>
                <w:sz w:val="16"/>
                <w:szCs w:val="16"/>
                <w:color w:val="auto"/>
              </w:rPr>
              <w:t>Critical</w:t>
            </w:r>
          </w:p>
        </w:tc>
        <w:tc>
          <w:tcPr>
            <w:tcW w:w="960" w:type="dxa"/>
            <w:vAlign w:val="bottom"/>
          </w:tcPr>
          <w:p>
            <w:pPr>
              <w:jc w:val="right"/>
              <w:spacing w:after="0" w:line="175" w:lineRule="exact"/>
              <w:rPr>
                <w:sz w:val="20"/>
                <w:szCs w:val="20"/>
                <w:color w:val="auto"/>
              </w:rPr>
            </w:pPr>
            <w:r>
              <w:rPr>
                <w:rFonts w:ascii="Arial" w:cs="Arial" w:eastAsia="Arial" w:hAnsi="Arial"/>
                <w:sz w:val="16"/>
                <w:szCs w:val="16"/>
                <w:color w:val="auto"/>
              </w:rPr>
              <w:t>Critical</w:t>
            </w:r>
          </w:p>
        </w:tc>
        <w:tc>
          <w:tcPr>
            <w:tcW w:w="1620" w:type="dxa"/>
            <w:vAlign w:val="bottom"/>
          </w:tcPr>
          <w:p>
            <w:pPr>
              <w:jc w:val="right"/>
              <w:ind w:right="99"/>
              <w:spacing w:after="0" w:line="175" w:lineRule="exact"/>
              <w:rPr>
                <w:sz w:val="20"/>
                <w:szCs w:val="20"/>
                <w:color w:val="auto"/>
              </w:rPr>
            </w:pPr>
            <w:r>
              <w:rPr>
                <w:rFonts w:ascii="Arial" w:cs="Arial" w:eastAsia="Arial" w:hAnsi="Arial"/>
                <w:sz w:val="16"/>
                <w:szCs w:val="16"/>
                <w:color w:val="auto"/>
              </w:rPr>
              <w:t>Implemented</w:t>
            </w:r>
          </w:p>
        </w:tc>
        <w:tc>
          <w:tcPr>
            <w:tcW w:w="740" w:type="dxa"/>
            <w:vAlign w:val="bottom"/>
          </w:tcPr>
          <w:p>
            <w:pPr>
              <w:jc w:val="right"/>
              <w:ind w:right="99"/>
              <w:spacing w:after="0" w:line="175" w:lineRule="exact"/>
              <w:rPr>
                <w:sz w:val="20"/>
                <w:szCs w:val="20"/>
                <w:color w:val="auto"/>
              </w:rPr>
            </w:pPr>
            <w:r>
              <w:rPr>
                <w:rFonts w:ascii="Arial" w:cs="Arial" w:eastAsia="Arial" w:hAnsi="Arial"/>
                <w:sz w:val="16"/>
                <w:szCs w:val="16"/>
                <w:color w:val="auto"/>
              </w:rPr>
              <w:t>—</w:t>
            </w:r>
          </w:p>
        </w:tc>
        <w:tc>
          <w:tcPr>
            <w:tcW w:w="740" w:type="dxa"/>
            <w:vAlign w:val="bottom"/>
          </w:tcPr>
          <w:p>
            <w:pPr>
              <w:jc w:val="right"/>
              <w:ind w:right="99"/>
              <w:spacing w:after="0" w:line="175" w:lineRule="exact"/>
              <w:rPr>
                <w:sz w:val="20"/>
                <w:szCs w:val="20"/>
                <w:color w:val="auto"/>
              </w:rPr>
            </w:pPr>
            <w:r>
              <w:rPr>
                <w:rFonts w:ascii="Arial" w:cs="Arial" w:eastAsia="Arial" w:hAnsi="Arial"/>
                <w:sz w:val="16"/>
                <w:szCs w:val="16"/>
                <w:color w:val="auto"/>
              </w:rPr>
              <w:t>—</w:t>
            </w:r>
          </w:p>
        </w:tc>
        <w:tc>
          <w:tcPr>
            <w:tcW w:w="760" w:type="dxa"/>
            <w:vAlign w:val="bottom"/>
          </w:tcPr>
          <w:p>
            <w:pPr>
              <w:jc w:val="right"/>
              <w:ind w:right="119"/>
              <w:spacing w:after="0" w:line="175" w:lineRule="exact"/>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line="175" w:lineRule="exact"/>
              <w:rPr>
                <w:sz w:val="20"/>
                <w:szCs w:val="20"/>
                <w:color w:val="auto"/>
              </w:rPr>
            </w:pPr>
            <w:r>
              <w:rPr>
                <w:rFonts w:ascii="Arial" w:cs="Arial" w:eastAsia="Arial" w:hAnsi="Arial"/>
                <w:sz w:val="16"/>
                <w:szCs w:val="16"/>
                <w:color w:val="auto"/>
              </w:rPr>
              <w:t>No</w:t>
            </w:r>
          </w:p>
        </w:tc>
        <w:tc>
          <w:tcPr>
            <w:tcW w:w="1180" w:type="dxa"/>
            <w:vAlign w:val="bottom"/>
          </w:tcPr>
          <w:p>
            <w:pPr>
              <w:jc w:val="right"/>
              <w:ind w:right="59"/>
              <w:spacing w:after="0" w:line="175" w:lineRule="exact"/>
              <w:rPr>
                <w:sz w:val="20"/>
                <w:szCs w:val="20"/>
                <w:color w:val="auto"/>
              </w:rPr>
            </w:pPr>
            <w:r>
              <w:rPr>
                <w:rFonts w:ascii="Arial" w:cs="Arial" w:eastAsia="Arial" w:hAnsi="Arial"/>
                <w:sz w:val="16"/>
                <w:szCs w:val="16"/>
                <w:color w:val="auto"/>
              </w:rPr>
              <w:t>13-6212879</w:t>
            </w:r>
          </w:p>
        </w:tc>
        <w:tc>
          <w:tcPr>
            <w:tcW w:w="1520" w:type="dxa"/>
            <w:vAlign w:val="bottom"/>
          </w:tcPr>
          <w:p>
            <w:pPr>
              <w:jc w:val="right"/>
              <w:spacing w:after="0" w:line="175" w:lineRule="exact"/>
              <w:rPr>
                <w:sz w:val="20"/>
                <w:szCs w:val="20"/>
                <w:color w:val="auto"/>
              </w:rPr>
            </w:pPr>
            <w:r>
              <w:rPr>
                <w:rFonts w:ascii="Arial" w:cs="Arial" w:eastAsia="Arial" w:hAnsi="Arial"/>
                <w:sz w:val="16"/>
                <w:szCs w:val="16"/>
                <w:color w:val="auto"/>
              </w:rPr>
              <w:t>N/A (1)</w:t>
            </w:r>
          </w:p>
        </w:tc>
        <w:tc>
          <w:tcPr>
            <w:tcW w:w="0" w:type="dxa"/>
            <w:vAlign w:val="bottom"/>
          </w:tcPr>
          <w:p>
            <w:pPr>
              <w:spacing w:after="0"/>
              <w:rPr>
                <w:sz w:val="1"/>
                <w:szCs w:val="1"/>
                <w:color w:val="auto"/>
              </w:rPr>
            </w:pPr>
          </w:p>
        </w:tc>
      </w:tr>
      <w:tr>
        <w:trPr>
          <w:trHeight w:val="215"/>
        </w:trPr>
        <w:tc>
          <w:tcPr>
            <w:tcW w:w="1640" w:type="dxa"/>
            <w:vAlign w:val="bottom"/>
          </w:tcPr>
          <w:p>
            <w:pPr>
              <w:ind w:left="20"/>
              <w:spacing w:after="0"/>
              <w:rPr>
                <w:sz w:val="20"/>
                <w:szCs w:val="20"/>
                <w:color w:val="auto"/>
              </w:rPr>
            </w:pPr>
            <w:r>
              <w:rPr>
                <w:rFonts w:ascii="Arial" w:cs="Arial" w:eastAsia="Arial" w:hAnsi="Arial"/>
                <w:sz w:val="16"/>
                <w:szCs w:val="16"/>
                <w:color w:val="auto"/>
              </w:rPr>
              <w:t>Pension Plan</w:t>
            </w: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6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1640" w:type="dxa"/>
            <w:vAlign w:val="bottom"/>
          </w:tcPr>
          <w:p>
            <w:pPr>
              <w:ind w:left="20"/>
              <w:spacing w:after="0" w:line="175" w:lineRule="exact"/>
              <w:rPr>
                <w:sz w:val="20"/>
                <w:szCs w:val="20"/>
                <w:color w:val="auto"/>
              </w:rPr>
            </w:pPr>
            <w:r>
              <w:rPr>
                <w:rFonts w:ascii="Arial" w:cs="Arial" w:eastAsia="Arial" w:hAnsi="Arial"/>
                <w:sz w:val="16"/>
                <w:szCs w:val="16"/>
                <w:color w:val="auto"/>
              </w:rPr>
              <w:t>IAM National Pension</w:t>
            </w:r>
          </w:p>
        </w:tc>
        <w:tc>
          <w:tcPr>
            <w:tcW w:w="980" w:type="dxa"/>
            <w:vAlign w:val="bottom"/>
          </w:tcPr>
          <w:p>
            <w:pPr>
              <w:jc w:val="right"/>
              <w:spacing w:after="0" w:line="175" w:lineRule="exact"/>
              <w:rPr>
                <w:sz w:val="20"/>
                <w:szCs w:val="20"/>
                <w:color w:val="auto"/>
              </w:rPr>
            </w:pPr>
            <w:r>
              <w:rPr>
                <w:rFonts w:ascii="Arial" w:cs="Arial" w:eastAsia="Arial" w:hAnsi="Arial"/>
                <w:sz w:val="16"/>
                <w:szCs w:val="16"/>
                <w:color w:val="auto"/>
              </w:rPr>
              <w:t>Green</w:t>
            </w:r>
          </w:p>
        </w:tc>
        <w:tc>
          <w:tcPr>
            <w:tcW w:w="960" w:type="dxa"/>
            <w:vAlign w:val="bottom"/>
          </w:tcPr>
          <w:p>
            <w:pPr>
              <w:jc w:val="right"/>
              <w:spacing w:after="0" w:line="175" w:lineRule="exact"/>
              <w:rPr>
                <w:sz w:val="20"/>
                <w:szCs w:val="20"/>
                <w:color w:val="auto"/>
              </w:rPr>
            </w:pPr>
            <w:r>
              <w:rPr>
                <w:rFonts w:ascii="Arial" w:cs="Arial" w:eastAsia="Arial" w:hAnsi="Arial"/>
                <w:sz w:val="16"/>
                <w:szCs w:val="16"/>
                <w:color w:val="auto"/>
              </w:rPr>
              <w:t>Green</w:t>
            </w:r>
          </w:p>
        </w:tc>
        <w:tc>
          <w:tcPr>
            <w:tcW w:w="1620" w:type="dxa"/>
            <w:vAlign w:val="bottom"/>
          </w:tcPr>
          <w:p>
            <w:pPr>
              <w:jc w:val="right"/>
              <w:ind w:right="99"/>
              <w:spacing w:after="0" w:line="175" w:lineRule="exact"/>
              <w:rPr>
                <w:sz w:val="20"/>
                <w:szCs w:val="20"/>
                <w:color w:val="auto"/>
              </w:rPr>
            </w:pPr>
            <w:r>
              <w:rPr>
                <w:rFonts w:ascii="Arial" w:cs="Arial" w:eastAsia="Arial" w:hAnsi="Arial"/>
                <w:sz w:val="16"/>
                <w:szCs w:val="16"/>
                <w:color w:val="auto"/>
              </w:rPr>
              <w:t>N/A</w:t>
            </w:r>
          </w:p>
        </w:tc>
        <w:tc>
          <w:tcPr>
            <w:tcW w:w="740" w:type="dxa"/>
            <w:vAlign w:val="bottom"/>
          </w:tcPr>
          <w:p>
            <w:pPr>
              <w:jc w:val="right"/>
              <w:ind w:right="99"/>
              <w:spacing w:after="0" w:line="175" w:lineRule="exact"/>
              <w:rPr>
                <w:sz w:val="20"/>
                <w:szCs w:val="20"/>
                <w:color w:val="auto"/>
              </w:rPr>
            </w:pPr>
            <w:r>
              <w:rPr>
                <w:rFonts w:ascii="Arial" w:cs="Arial" w:eastAsia="Arial" w:hAnsi="Arial"/>
                <w:sz w:val="16"/>
                <w:szCs w:val="16"/>
                <w:color w:val="auto"/>
              </w:rPr>
              <w:t>—</w:t>
            </w:r>
          </w:p>
        </w:tc>
        <w:tc>
          <w:tcPr>
            <w:tcW w:w="740" w:type="dxa"/>
            <w:vAlign w:val="bottom"/>
          </w:tcPr>
          <w:p>
            <w:pPr>
              <w:jc w:val="right"/>
              <w:ind w:right="99"/>
              <w:spacing w:after="0" w:line="175" w:lineRule="exact"/>
              <w:rPr>
                <w:sz w:val="20"/>
                <w:szCs w:val="20"/>
                <w:color w:val="auto"/>
              </w:rPr>
            </w:pPr>
            <w:r>
              <w:rPr>
                <w:rFonts w:ascii="Arial" w:cs="Arial" w:eastAsia="Arial" w:hAnsi="Arial"/>
                <w:sz w:val="16"/>
                <w:szCs w:val="16"/>
                <w:color w:val="auto"/>
              </w:rPr>
              <w:t>45</w:t>
            </w:r>
          </w:p>
        </w:tc>
        <w:tc>
          <w:tcPr>
            <w:tcW w:w="760" w:type="dxa"/>
            <w:vAlign w:val="bottom"/>
          </w:tcPr>
          <w:p>
            <w:pPr>
              <w:jc w:val="right"/>
              <w:ind w:right="119"/>
              <w:spacing w:after="0" w:line="175" w:lineRule="exact"/>
              <w:rPr>
                <w:sz w:val="20"/>
                <w:szCs w:val="20"/>
                <w:color w:val="auto"/>
              </w:rPr>
            </w:pPr>
            <w:r>
              <w:rPr>
                <w:rFonts w:ascii="Arial" w:cs="Arial" w:eastAsia="Arial" w:hAnsi="Arial"/>
                <w:sz w:val="16"/>
                <w:szCs w:val="16"/>
                <w:color w:val="auto"/>
              </w:rPr>
              <w:t>57</w:t>
            </w:r>
          </w:p>
        </w:tc>
        <w:tc>
          <w:tcPr>
            <w:tcW w:w="1100" w:type="dxa"/>
            <w:vAlign w:val="bottom"/>
          </w:tcPr>
          <w:p>
            <w:pPr>
              <w:jc w:val="right"/>
              <w:ind w:right="79"/>
              <w:spacing w:after="0" w:line="175" w:lineRule="exact"/>
              <w:rPr>
                <w:sz w:val="20"/>
                <w:szCs w:val="20"/>
                <w:color w:val="auto"/>
              </w:rPr>
            </w:pPr>
            <w:r>
              <w:rPr>
                <w:rFonts w:ascii="Arial" w:cs="Arial" w:eastAsia="Arial" w:hAnsi="Arial"/>
                <w:sz w:val="16"/>
                <w:szCs w:val="16"/>
                <w:color w:val="auto"/>
              </w:rPr>
              <w:t>N/A</w:t>
            </w:r>
          </w:p>
        </w:tc>
        <w:tc>
          <w:tcPr>
            <w:tcW w:w="1180" w:type="dxa"/>
            <w:vAlign w:val="bottom"/>
          </w:tcPr>
          <w:p>
            <w:pPr>
              <w:jc w:val="right"/>
              <w:ind w:right="59"/>
              <w:spacing w:after="0" w:line="175" w:lineRule="exact"/>
              <w:rPr>
                <w:sz w:val="20"/>
                <w:szCs w:val="20"/>
                <w:color w:val="auto"/>
              </w:rPr>
            </w:pPr>
            <w:r>
              <w:rPr>
                <w:rFonts w:ascii="Arial" w:cs="Arial" w:eastAsia="Arial" w:hAnsi="Arial"/>
                <w:sz w:val="16"/>
                <w:szCs w:val="16"/>
                <w:color w:val="auto"/>
              </w:rPr>
              <w:t>51-6031295</w:t>
            </w:r>
          </w:p>
        </w:tc>
        <w:tc>
          <w:tcPr>
            <w:tcW w:w="1520" w:type="dxa"/>
            <w:vAlign w:val="bottom"/>
          </w:tcPr>
          <w:p>
            <w:pPr>
              <w:jc w:val="right"/>
              <w:spacing w:after="0" w:line="175" w:lineRule="exact"/>
              <w:rPr>
                <w:sz w:val="20"/>
                <w:szCs w:val="20"/>
                <w:color w:val="auto"/>
              </w:rPr>
            </w:pPr>
            <w:r>
              <w:rPr>
                <w:rFonts w:ascii="Arial" w:cs="Arial" w:eastAsia="Arial" w:hAnsi="Arial"/>
                <w:sz w:val="16"/>
                <w:szCs w:val="16"/>
                <w:color w:val="auto"/>
              </w:rPr>
              <w:t>N/A (1)</w:t>
            </w:r>
          </w:p>
        </w:tc>
        <w:tc>
          <w:tcPr>
            <w:tcW w:w="0" w:type="dxa"/>
            <w:vAlign w:val="bottom"/>
          </w:tcPr>
          <w:p>
            <w:pPr>
              <w:spacing w:after="0"/>
              <w:rPr>
                <w:sz w:val="1"/>
                <w:szCs w:val="1"/>
                <w:color w:val="auto"/>
              </w:rPr>
            </w:pPr>
          </w:p>
        </w:tc>
      </w:tr>
      <w:tr>
        <w:trPr>
          <w:trHeight w:val="215"/>
        </w:trPr>
        <w:tc>
          <w:tcPr>
            <w:tcW w:w="1640" w:type="dxa"/>
            <w:vAlign w:val="bottom"/>
          </w:tcPr>
          <w:p>
            <w:pPr>
              <w:ind w:left="20"/>
              <w:spacing w:after="0"/>
              <w:rPr>
                <w:sz w:val="20"/>
                <w:szCs w:val="20"/>
                <w:color w:val="auto"/>
              </w:rPr>
            </w:pPr>
            <w:r>
              <w:rPr>
                <w:rFonts w:ascii="Arial" w:cs="Arial" w:eastAsia="Arial" w:hAnsi="Arial"/>
                <w:sz w:val="16"/>
                <w:szCs w:val="16"/>
                <w:color w:val="auto"/>
              </w:rPr>
              <w:t>Fund</w:t>
            </w: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6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1640" w:type="dxa"/>
            <w:vAlign w:val="bottom"/>
          </w:tcPr>
          <w:p>
            <w:pPr>
              <w:ind w:left="20"/>
              <w:spacing w:after="0" w:line="175" w:lineRule="exact"/>
              <w:rPr>
                <w:sz w:val="20"/>
                <w:szCs w:val="20"/>
                <w:color w:val="auto"/>
              </w:rPr>
            </w:pPr>
            <w:r>
              <w:rPr>
                <w:rFonts w:ascii="Arial" w:cs="Arial" w:eastAsia="Arial" w:hAnsi="Arial"/>
                <w:sz w:val="16"/>
                <w:szCs w:val="16"/>
                <w:color w:val="auto"/>
              </w:rPr>
              <w:t>Operating Engineers</w:t>
            </w:r>
          </w:p>
        </w:tc>
        <w:tc>
          <w:tcPr>
            <w:tcW w:w="980" w:type="dxa"/>
            <w:vAlign w:val="bottom"/>
          </w:tcPr>
          <w:p>
            <w:pPr>
              <w:jc w:val="right"/>
              <w:spacing w:after="0" w:line="175" w:lineRule="exact"/>
              <w:rPr>
                <w:sz w:val="20"/>
                <w:szCs w:val="20"/>
                <w:color w:val="auto"/>
              </w:rPr>
            </w:pPr>
            <w:r>
              <w:rPr>
                <w:rFonts w:ascii="Arial" w:cs="Arial" w:eastAsia="Arial" w:hAnsi="Arial"/>
                <w:sz w:val="16"/>
                <w:szCs w:val="16"/>
                <w:color w:val="auto"/>
              </w:rPr>
              <w:t>Green</w:t>
            </w:r>
          </w:p>
        </w:tc>
        <w:tc>
          <w:tcPr>
            <w:tcW w:w="960" w:type="dxa"/>
            <w:vAlign w:val="bottom"/>
          </w:tcPr>
          <w:p>
            <w:pPr>
              <w:jc w:val="right"/>
              <w:spacing w:after="0" w:line="175" w:lineRule="exact"/>
              <w:rPr>
                <w:sz w:val="20"/>
                <w:szCs w:val="20"/>
                <w:color w:val="auto"/>
              </w:rPr>
            </w:pPr>
            <w:r>
              <w:rPr>
                <w:rFonts w:ascii="Arial" w:cs="Arial" w:eastAsia="Arial" w:hAnsi="Arial"/>
                <w:sz w:val="16"/>
                <w:szCs w:val="16"/>
                <w:color w:val="auto"/>
              </w:rPr>
              <w:t>Green</w:t>
            </w:r>
          </w:p>
        </w:tc>
        <w:tc>
          <w:tcPr>
            <w:tcW w:w="1620" w:type="dxa"/>
            <w:vAlign w:val="bottom"/>
          </w:tcPr>
          <w:p>
            <w:pPr>
              <w:jc w:val="right"/>
              <w:ind w:right="99"/>
              <w:spacing w:after="0" w:line="175" w:lineRule="exact"/>
              <w:rPr>
                <w:sz w:val="20"/>
                <w:szCs w:val="20"/>
                <w:color w:val="auto"/>
              </w:rPr>
            </w:pPr>
            <w:r>
              <w:rPr>
                <w:rFonts w:ascii="Arial" w:cs="Arial" w:eastAsia="Arial" w:hAnsi="Arial"/>
                <w:sz w:val="16"/>
                <w:szCs w:val="16"/>
                <w:color w:val="auto"/>
              </w:rPr>
              <w:t>N/A</w:t>
            </w:r>
          </w:p>
        </w:tc>
        <w:tc>
          <w:tcPr>
            <w:tcW w:w="740" w:type="dxa"/>
            <w:vAlign w:val="bottom"/>
          </w:tcPr>
          <w:p>
            <w:pPr>
              <w:jc w:val="right"/>
              <w:ind w:right="99"/>
              <w:spacing w:after="0" w:line="175" w:lineRule="exact"/>
              <w:rPr>
                <w:sz w:val="20"/>
                <w:szCs w:val="20"/>
                <w:color w:val="auto"/>
              </w:rPr>
            </w:pPr>
            <w:r>
              <w:rPr>
                <w:rFonts w:ascii="Arial" w:cs="Arial" w:eastAsia="Arial" w:hAnsi="Arial"/>
                <w:sz w:val="16"/>
                <w:szCs w:val="16"/>
                <w:color w:val="auto"/>
              </w:rPr>
              <w:t>—</w:t>
            </w:r>
          </w:p>
        </w:tc>
        <w:tc>
          <w:tcPr>
            <w:tcW w:w="740" w:type="dxa"/>
            <w:vAlign w:val="bottom"/>
          </w:tcPr>
          <w:p>
            <w:pPr>
              <w:jc w:val="right"/>
              <w:ind w:right="99"/>
              <w:spacing w:after="0" w:line="175" w:lineRule="exact"/>
              <w:rPr>
                <w:sz w:val="20"/>
                <w:szCs w:val="20"/>
                <w:color w:val="auto"/>
              </w:rPr>
            </w:pPr>
            <w:r>
              <w:rPr>
                <w:rFonts w:ascii="Arial" w:cs="Arial" w:eastAsia="Arial" w:hAnsi="Arial"/>
                <w:sz w:val="16"/>
                <w:szCs w:val="16"/>
                <w:color w:val="auto"/>
              </w:rPr>
              <w:t>32</w:t>
            </w:r>
          </w:p>
        </w:tc>
        <w:tc>
          <w:tcPr>
            <w:tcW w:w="760" w:type="dxa"/>
            <w:vAlign w:val="bottom"/>
          </w:tcPr>
          <w:p>
            <w:pPr>
              <w:jc w:val="right"/>
              <w:ind w:right="119"/>
              <w:spacing w:after="0" w:line="175" w:lineRule="exact"/>
              <w:rPr>
                <w:sz w:val="20"/>
                <w:szCs w:val="20"/>
                <w:color w:val="auto"/>
              </w:rPr>
            </w:pPr>
            <w:r>
              <w:rPr>
                <w:rFonts w:ascii="Arial" w:cs="Arial" w:eastAsia="Arial" w:hAnsi="Arial"/>
                <w:sz w:val="16"/>
                <w:szCs w:val="16"/>
                <w:color w:val="auto"/>
              </w:rPr>
              <w:t>50</w:t>
            </w:r>
          </w:p>
        </w:tc>
        <w:tc>
          <w:tcPr>
            <w:tcW w:w="1100" w:type="dxa"/>
            <w:vAlign w:val="bottom"/>
          </w:tcPr>
          <w:p>
            <w:pPr>
              <w:jc w:val="right"/>
              <w:ind w:right="79"/>
              <w:spacing w:after="0" w:line="175" w:lineRule="exact"/>
              <w:rPr>
                <w:sz w:val="20"/>
                <w:szCs w:val="20"/>
                <w:color w:val="auto"/>
              </w:rPr>
            </w:pPr>
            <w:r>
              <w:rPr>
                <w:rFonts w:ascii="Arial" w:cs="Arial" w:eastAsia="Arial" w:hAnsi="Arial"/>
                <w:sz w:val="16"/>
                <w:szCs w:val="16"/>
                <w:color w:val="auto"/>
              </w:rPr>
              <w:t>N/A</w:t>
            </w:r>
          </w:p>
        </w:tc>
        <w:tc>
          <w:tcPr>
            <w:tcW w:w="1180" w:type="dxa"/>
            <w:vAlign w:val="bottom"/>
          </w:tcPr>
          <w:p>
            <w:pPr>
              <w:jc w:val="right"/>
              <w:ind w:right="59"/>
              <w:spacing w:after="0" w:line="175" w:lineRule="exact"/>
              <w:rPr>
                <w:sz w:val="20"/>
                <w:szCs w:val="20"/>
                <w:color w:val="auto"/>
              </w:rPr>
            </w:pPr>
            <w:r>
              <w:rPr>
                <w:rFonts w:ascii="Arial" w:cs="Arial" w:eastAsia="Arial" w:hAnsi="Arial"/>
                <w:sz w:val="16"/>
                <w:szCs w:val="16"/>
                <w:color w:val="auto"/>
              </w:rPr>
              <w:t>36-6052390</w:t>
            </w:r>
          </w:p>
        </w:tc>
        <w:tc>
          <w:tcPr>
            <w:tcW w:w="1520" w:type="dxa"/>
            <w:vAlign w:val="bottom"/>
          </w:tcPr>
          <w:p>
            <w:pPr>
              <w:jc w:val="right"/>
              <w:spacing w:after="0" w:line="175" w:lineRule="exact"/>
              <w:rPr>
                <w:sz w:val="20"/>
                <w:szCs w:val="20"/>
                <w:color w:val="auto"/>
              </w:rPr>
            </w:pPr>
            <w:r>
              <w:rPr>
                <w:rFonts w:ascii="Arial" w:cs="Arial" w:eastAsia="Arial" w:hAnsi="Arial"/>
                <w:sz w:val="16"/>
                <w:szCs w:val="16"/>
                <w:color w:val="auto"/>
              </w:rPr>
              <w:t>N/A (1)</w:t>
            </w:r>
          </w:p>
        </w:tc>
        <w:tc>
          <w:tcPr>
            <w:tcW w:w="0" w:type="dxa"/>
            <w:vAlign w:val="bottom"/>
          </w:tcPr>
          <w:p>
            <w:pPr>
              <w:spacing w:after="0"/>
              <w:rPr>
                <w:sz w:val="1"/>
                <w:szCs w:val="1"/>
                <w:color w:val="auto"/>
              </w:rPr>
            </w:pPr>
          </w:p>
        </w:tc>
      </w:tr>
      <w:tr>
        <w:trPr>
          <w:trHeight w:val="189"/>
        </w:trPr>
        <w:tc>
          <w:tcPr>
            <w:tcW w:w="1640" w:type="dxa"/>
            <w:vAlign w:val="bottom"/>
          </w:tcPr>
          <w:p>
            <w:pPr>
              <w:ind w:left="20"/>
              <w:spacing w:after="0"/>
              <w:rPr>
                <w:sz w:val="20"/>
                <w:szCs w:val="20"/>
                <w:color w:val="auto"/>
              </w:rPr>
            </w:pPr>
            <w:r>
              <w:rPr>
                <w:rFonts w:ascii="Arial" w:cs="Arial" w:eastAsia="Arial" w:hAnsi="Arial"/>
                <w:sz w:val="16"/>
                <w:szCs w:val="16"/>
                <w:color w:val="auto"/>
              </w:rPr>
              <w:t>Central Pension Fund</w:t>
            </w: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640" w:type="dxa"/>
            <w:vAlign w:val="bottom"/>
          </w:tcPr>
          <w:p>
            <w:pPr>
              <w:ind w:left="20"/>
              <w:spacing w:after="0"/>
              <w:rPr>
                <w:sz w:val="20"/>
                <w:szCs w:val="20"/>
                <w:color w:val="auto"/>
              </w:rPr>
            </w:pPr>
            <w:r>
              <w:rPr>
                <w:rFonts w:ascii="Arial" w:cs="Arial" w:eastAsia="Arial" w:hAnsi="Arial"/>
                <w:sz w:val="16"/>
                <w:szCs w:val="16"/>
                <w:color w:val="auto"/>
              </w:rPr>
              <w:t>of the International</w:t>
            </w: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0"/>
        <w:spacing w:after="0" w:line="228" w:lineRule="auto"/>
        <w:rPr>
          <w:sz w:val="20"/>
          <w:szCs w:val="20"/>
          <w:color w:val="auto"/>
        </w:rPr>
      </w:pPr>
      <w:r>
        <w:rPr>
          <w:rFonts w:ascii="Arial" w:cs="Arial" w:eastAsia="Arial" w:hAnsi="Arial"/>
          <w:sz w:val="16"/>
          <w:szCs w:val="16"/>
          <w:color w:val="auto"/>
        </w:rPr>
        <w:t>Union of Operating</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Engineers and</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color w:val="auto"/>
        </w:rPr>
        <w:t>Participating</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color w:val="auto"/>
        </w:rPr>
        <w:t>Employers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3" w:lineRule="exact"/>
        <w:rPr>
          <w:sz w:val="20"/>
          <w:szCs w:val="20"/>
          <w:color w:val="auto"/>
        </w:rPr>
      </w:pPr>
    </w:p>
    <w:p>
      <w:pPr>
        <w:ind w:left="980"/>
        <w:spacing w:after="0"/>
        <w:rPr>
          <w:sz w:val="20"/>
          <w:szCs w:val="20"/>
          <w:color w:val="auto"/>
        </w:rPr>
      </w:pPr>
      <w:r>
        <w:rPr>
          <w:rFonts w:ascii="Arial" w:cs="Arial" w:eastAsia="Arial" w:hAnsi="Arial"/>
          <w:sz w:val="16"/>
          <w:szCs w:val="16"/>
          <w:color w:val="auto"/>
        </w:rPr>
        <w:t>(1)  The Company has withdrawn from the multiemployer plan</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has effectuated withdrawals from all multiemployer plans. We record estimates of withdrawal liabilities as of the time the contracts agreeing to withdraw from those plans are ratified. As of September 29, 2024 and September 24, 2023, we had $23.6 million and $25.1 million of accrued withdrawal liabilities. The liabilities reflect the estimated net present value of payments to the fund, payable over 20 years.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9260" w:firstLine="8"/>
        <w:spacing w:after="0" w:line="461" w:lineRule="auto"/>
        <w:tabs>
          <w:tab w:leader="none" w:pos="45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Rights Agreement</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28, 2024, our Board of Directors adopted a stockholder rights plan (the “Rights Agreement”). Pursuant to the Rights Agreement, on March 28, 2024, our Board of Directors declared a dividend of one preferred share purchase right (a “Right”), payable on April 8, 2024, for each share of our Common Stock outstanding to the stockholders of record on that date. Each Right entitles the registered holder to purchase from the Company one one-thousandth of a share of Series C Participating Convertible Preferred Stock, without par value (the “Preferred Shares”), of the Company at a price of $90.00 per one one-thousandth of a Preferred Share represented by a Right, subject to adjustment.</w:t>
      </w:r>
    </w:p>
    <w:p>
      <w:pPr>
        <w:spacing w:after="0" w:line="14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Rights will initially trade with our Common Stock and will generally become exercisable only if any person or group, other than certain exempt persons, acquires beneficial ownership of 15% or more of our Common Stock outstanding. In the event the Rights become exercisable, each holder of a Right, other than the triggering person(s), will be entitled to purchase additional shares of our Common Stock at a 50% discount or the Company may exchange each Right held by such holders for one share of our Common Stock. The Rights Agreement will continue in effect until March 27, 2025, or unless earlier redeemed or terminated by the Company, as provided in the Rights Agreement. The Rights have no voting or dividend privileges, and, unless and until they become exercisable, have no dilutive effect on the earnings of the Company.</w:t>
      </w:r>
    </w:p>
    <w:p>
      <w:pPr>
        <w:spacing w:after="0" w:line="15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Rights Agreement applies equally to all current and future stockholders and is not intended to deter offers or preclude our Board of Directors from considering acquisition proposals that are fair and otherwise in the best interest of our stockholders. However, the overall effect of the Rights Agreement may render it more difficult or discourage a merger, tender offer, or other business combination involving us that is not supported by our Board of Directors.</w:t>
      </w:r>
    </w:p>
    <w:p>
      <w:pPr>
        <w:spacing w:after="0" w:line="136" w:lineRule="exact"/>
        <w:rPr>
          <w:sz w:val="20"/>
          <w:szCs w:val="20"/>
          <w:color w:val="auto"/>
        </w:rPr>
      </w:pPr>
    </w:p>
    <w:p>
      <w:pPr>
        <w:ind w:left="440" w:hanging="432"/>
        <w:spacing w:after="0"/>
        <w:tabs>
          <w:tab w:leader="none" w:pos="4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STOCK OWNERSHIP PLANS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Total non-cash stock compensation expense is $1.8 million, $1.8 million. and $1.3 million, in 2024, 2023, and 2022, respectively.</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September 29, 2024, we have reserved 69,107 shares of Common Stock for issuance to employees under an incentive and non-statutory stock option and restricted stock plan approved by stockholders, of which 69,107 shares are available for granting of non-qualified stock options or issuance of restricted Common Stock.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Options are granted at a price equal to the fair market value on the date of the grant and are exercisable, upon vesting, over a ten-year period.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Shares)</w:t>
            </w:r>
          </w:p>
        </w:tc>
        <w:tc>
          <w:tcPr>
            <w:tcW w:w="4660" w:type="dxa"/>
            <w:vAlign w:val="bottom"/>
            <w:tcBorders>
              <w:top w:val="single" w:sz="8" w:color="auto"/>
              <w:bottom w:val="single" w:sz="8" w:color="auto"/>
            </w:tcBorders>
          </w:tcPr>
          <w:p>
            <w:pPr>
              <w:ind w:left="3660"/>
              <w:spacing w:after="0"/>
              <w:rPr>
                <w:sz w:val="20"/>
                <w:szCs w:val="20"/>
                <w:color w:val="auto"/>
              </w:rPr>
            </w:pPr>
            <w:r>
              <w:rPr>
                <w:rFonts w:ascii="Arial" w:cs="Arial" w:eastAsia="Arial" w:hAnsi="Arial"/>
                <w:sz w:val="18"/>
                <w:szCs w:val="18"/>
                <w:color w:val="auto"/>
              </w:rPr>
              <w:t>2024</w:t>
            </w:r>
          </w:p>
        </w:tc>
        <w:tc>
          <w:tcPr>
            <w:tcW w:w="158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rPr>
              <w:t>2023</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2022</w:t>
            </w:r>
          </w:p>
        </w:tc>
      </w:tr>
      <w:tr>
        <w:trPr>
          <w:trHeight w:val="250"/>
        </w:trPr>
        <w:tc>
          <w:tcPr>
            <w:tcW w:w="4000" w:type="dxa"/>
            <w:vAlign w:val="bottom"/>
          </w:tcPr>
          <w:p>
            <w:pPr>
              <w:spacing w:after="0"/>
              <w:rPr>
                <w:sz w:val="21"/>
                <w:szCs w:val="21"/>
                <w:color w:val="auto"/>
              </w:rPr>
            </w:pPr>
          </w:p>
        </w:tc>
        <w:tc>
          <w:tcPr>
            <w:tcW w:w="46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beginning of year</w:t>
            </w:r>
          </w:p>
        </w:tc>
        <w:tc>
          <w:tcPr>
            <w:tcW w:w="4660" w:type="dxa"/>
            <w:vAlign w:val="bottom"/>
            <w:shd w:val="clear" w:color="auto" w:fill="CCEEFF"/>
          </w:tcPr>
          <w:p>
            <w:pPr>
              <w:ind w:left="382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Exercised</w:t>
            </w:r>
          </w:p>
        </w:tc>
        <w:tc>
          <w:tcPr>
            <w:tcW w:w="4660" w:type="dxa"/>
            <w:vAlign w:val="bottom"/>
          </w:tcPr>
          <w:p>
            <w:pPr>
              <w:ind w:left="3820"/>
              <w:spacing w:after="0"/>
              <w:rPr>
                <w:sz w:val="20"/>
                <w:szCs w:val="20"/>
                <w:color w:val="auto"/>
              </w:rPr>
            </w:pPr>
            <w:r>
              <w:rPr>
                <w:rFonts w:ascii="Arial" w:cs="Arial" w:eastAsia="Arial" w:hAnsi="Arial"/>
                <w:sz w:val="18"/>
                <w:szCs w:val="18"/>
                <w:color w:val="auto"/>
              </w:rPr>
              <w:t>—</w:t>
            </w:r>
          </w:p>
        </w:tc>
        <w:tc>
          <w:tcPr>
            <w:tcW w:w="1580" w:type="dxa"/>
            <w:vAlign w:val="bottom"/>
          </w:tcPr>
          <w:p>
            <w:pPr>
              <w:ind w:left="7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4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Canceled</w:t>
            </w:r>
          </w:p>
        </w:tc>
        <w:tc>
          <w:tcPr>
            <w:tcW w:w="4660" w:type="dxa"/>
            <w:vAlign w:val="bottom"/>
            <w:tcBorders>
              <w:bottom w:val="single" w:sz="8" w:color="auto"/>
            </w:tcBorders>
            <w:shd w:val="clear" w:color="auto" w:fill="CCEEFF"/>
          </w:tcPr>
          <w:p>
            <w:pPr>
              <w:ind w:left="38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Outstanding, end of year</w:t>
            </w:r>
          </w:p>
        </w:tc>
        <w:tc>
          <w:tcPr>
            <w:tcW w:w="4660" w:type="dxa"/>
            <w:vAlign w:val="bottom"/>
            <w:tcBorders>
              <w:bottom w:val="single" w:sz="8" w:color="auto"/>
            </w:tcBorders>
          </w:tcPr>
          <w:p>
            <w:pPr>
              <w:ind w:left="38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Exercisable, end of year</w:t>
            </w:r>
          </w:p>
        </w:tc>
        <w:tc>
          <w:tcPr>
            <w:tcW w:w="4660" w:type="dxa"/>
            <w:vAlign w:val="bottom"/>
            <w:tcBorders>
              <w:bottom w:val="single" w:sz="8" w:color="auto"/>
            </w:tcBorders>
            <w:shd w:val="clear" w:color="auto" w:fill="CCEEFF"/>
          </w:tcPr>
          <w:p>
            <w:pPr>
              <w:ind w:left="38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000" w:type="dxa"/>
            <w:vAlign w:val="bottom"/>
            <w:tcBorders>
              <w:top w:val="single" w:sz="8" w:color="CCEEFF"/>
              <w:bottom w:val="single" w:sz="8" w:color="auto"/>
            </w:tcBorders>
          </w:tcPr>
          <w:p>
            <w:pPr>
              <w:spacing w:after="0" w:line="20" w:lineRule="exact"/>
              <w:rPr>
                <w:sz w:val="1"/>
                <w:szCs w:val="1"/>
                <w:color w:val="auto"/>
              </w:rPr>
            </w:pPr>
          </w:p>
        </w:tc>
        <w:tc>
          <w:tcPr>
            <w:tcW w:w="46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882"/>
        </w:trPr>
        <w:tc>
          <w:tcPr>
            <w:tcW w:w="4000" w:type="dxa"/>
            <w:vAlign w:val="bottom"/>
          </w:tcPr>
          <w:p>
            <w:pPr>
              <w:spacing w:after="0"/>
              <w:rPr>
                <w:sz w:val="24"/>
                <w:szCs w:val="24"/>
                <w:color w:val="auto"/>
              </w:rPr>
            </w:pPr>
          </w:p>
        </w:tc>
        <w:tc>
          <w:tcPr>
            <w:tcW w:w="4660" w:type="dxa"/>
            <w:vAlign w:val="bottom"/>
          </w:tcPr>
          <w:p>
            <w:pPr>
              <w:ind w:left="1520"/>
              <w:spacing w:after="0"/>
              <w:rPr>
                <w:sz w:val="20"/>
                <w:szCs w:val="20"/>
                <w:color w:val="auto"/>
              </w:rPr>
            </w:pPr>
            <w:r>
              <w:rPr>
                <w:rFonts w:ascii="Arial" w:cs="Arial" w:eastAsia="Arial" w:hAnsi="Arial"/>
                <w:sz w:val="18"/>
                <w:szCs w:val="18"/>
                <w:color w:val="auto"/>
              </w:rPr>
              <w:t>61</w:t>
            </w:r>
          </w:p>
        </w:tc>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1"/>
        </w:trPr>
        <w:tc>
          <w:tcPr>
            <w:tcW w:w="4000" w:type="dxa"/>
            <w:vAlign w:val="bottom"/>
            <w:tcBorders>
              <w:bottom w:val="single" w:sz="8" w:color="9A9A9A"/>
            </w:tcBorders>
          </w:tcPr>
          <w:p>
            <w:pPr>
              <w:spacing w:after="0"/>
              <w:rPr>
                <w:sz w:val="9"/>
                <w:szCs w:val="9"/>
                <w:color w:val="auto"/>
              </w:rPr>
            </w:pPr>
          </w:p>
        </w:tc>
        <w:tc>
          <w:tcPr>
            <w:tcW w:w="466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prices of stock options are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(Dollars)</w:t>
            </w:r>
          </w:p>
        </w:tc>
        <w:tc>
          <w:tcPr>
            <w:tcW w:w="15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2024</w:t>
            </w:r>
          </w:p>
        </w:tc>
        <w:tc>
          <w:tcPr>
            <w:tcW w:w="15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2022</w:t>
            </w:r>
          </w:p>
        </w:tc>
      </w:tr>
      <w:tr>
        <w:trPr>
          <w:trHeight w:val="250"/>
        </w:trPr>
        <w:tc>
          <w:tcPr>
            <w:tcW w:w="7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r>
      <w:tr>
        <w:trPr>
          <w:trHeight w:val="229"/>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Cancelled</w:t>
            </w:r>
          </w:p>
        </w:tc>
        <w:tc>
          <w:tcPr>
            <w:tcW w:w="15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w:t>
            </w:r>
          </w:p>
        </w:tc>
      </w:tr>
      <w:tr>
        <w:trPr>
          <w:trHeight w:val="248"/>
        </w:trPr>
        <w:tc>
          <w:tcPr>
            <w:tcW w:w="7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end of year</w:t>
            </w:r>
          </w:p>
        </w:tc>
        <w:tc>
          <w:tcPr>
            <w:tcW w:w="15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w:t>
            </w:r>
          </w:p>
        </w:tc>
      </w:tr>
      <w:tr>
        <w:trPr>
          <w:trHeight w:val="20"/>
        </w:trPr>
        <w:tc>
          <w:tcPr>
            <w:tcW w:w="71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472"/>
        </w:trPr>
        <w:tc>
          <w:tcPr>
            <w:tcW w:w="7100" w:type="dxa"/>
            <w:vAlign w:val="bottom"/>
          </w:tcPr>
          <w:p>
            <w:pPr>
              <w:spacing w:after="0"/>
              <w:rPr>
                <w:sz w:val="20"/>
                <w:szCs w:val="20"/>
                <w:color w:val="auto"/>
              </w:rPr>
            </w:pPr>
            <w:r>
              <w:rPr>
                <w:rFonts w:ascii="Arial" w:cs="Arial" w:eastAsia="Arial" w:hAnsi="Arial"/>
                <w:sz w:val="18"/>
                <w:szCs w:val="18"/>
                <w:b w:val="1"/>
                <w:bCs w:val="1"/>
                <w:color w:val="auto"/>
              </w:rPr>
              <w:t>Restricted Common Stock</w:t>
            </w:r>
          </w:p>
        </w:tc>
        <w:tc>
          <w:tcPr>
            <w:tcW w:w="1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84"/>
        </w:trPr>
        <w:tc>
          <w:tcPr>
            <w:tcW w:w="7100" w:type="dxa"/>
            <w:vAlign w:val="bottom"/>
          </w:tcPr>
          <w:p>
            <w:pPr>
              <w:spacing w:after="0"/>
              <w:rPr>
                <w:sz w:val="20"/>
                <w:szCs w:val="20"/>
                <w:color w:val="auto"/>
              </w:rPr>
            </w:pPr>
            <w:r>
              <w:rPr>
                <w:rFonts w:ascii="Arial" w:cs="Arial" w:eastAsia="Arial" w:hAnsi="Arial"/>
                <w:sz w:val="18"/>
                <w:szCs w:val="18"/>
                <w:color w:val="auto"/>
              </w:rPr>
              <w:t>A summary of restricted Common Stock activity is as follows:</w:t>
            </w:r>
          </w:p>
        </w:tc>
        <w:tc>
          <w:tcPr>
            <w:tcW w:w="1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8"/>
        </w:trPr>
        <w:tc>
          <w:tcPr>
            <w:tcW w:w="7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223"/>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Shares)</w:t>
            </w:r>
          </w:p>
        </w:tc>
        <w:tc>
          <w:tcPr>
            <w:tcW w:w="15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2024</w:t>
            </w:r>
          </w:p>
        </w:tc>
        <w:tc>
          <w:tcPr>
            <w:tcW w:w="15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r>
      <w:tr>
        <w:trPr>
          <w:trHeight w:val="250"/>
        </w:trPr>
        <w:tc>
          <w:tcPr>
            <w:tcW w:w="7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beginning of year</w:t>
            </w:r>
          </w:p>
        </w:tc>
        <w:tc>
          <w:tcPr>
            <w:tcW w:w="15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162</w:t>
            </w:r>
          </w:p>
        </w:tc>
        <w:tc>
          <w:tcPr>
            <w:tcW w:w="15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165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510"/>
              <w:spacing w:after="0"/>
              <w:rPr>
                <w:sz w:val="20"/>
                <w:szCs w:val="20"/>
                <w:color w:val="auto"/>
              </w:rPr>
            </w:pPr>
            <w:r>
              <w:rPr>
                <w:rFonts w:ascii="Arial" w:cs="Arial" w:eastAsia="Arial" w:hAnsi="Arial"/>
                <w:sz w:val="18"/>
                <w:szCs w:val="18"/>
                <w:color w:val="auto"/>
              </w:rPr>
              <w:t>93</w:t>
            </w:r>
          </w:p>
        </w:tc>
        <w:tc>
          <w:tcPr>
            <w:tcW w:w="1580" w:type="dxa"/>
            <w:vAlign w:val="bottom"/>
          </w:tcPr>
          <w:p>
            <w:pPr>
              <w:jc w:val="right"/>
              <w:ind w:right="510"/>
              <w:spacing w:after="0"/>
              <w:rPr>
                <w:sz w:val="20"/>
                <w:szCs w:val="20"/>
                <w:color w:val="auto"/>
              </w:rPr>
            </w:pPr>
            <w:r>
              <w:rPr>
                <w:rFonts w:ascii="Arial" w:cs="Arial" w:eastAsia="Arial" w:hAnsi="Arial"/>
                <w:sz w:val="18"/>
                <w:szCs w:val="18"/>
                <w:color w:val="auto"/>
              </w:rPr>
              <w:t>69</w:t>
            </w:r>
          </w:p>
        </w:tc>
        <w:tc>
          <w:tcPr>
            <w:tcW w:w="10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(35)</w:t>
            </w:r>
          </w:p>
        </w:tc>
        <w:tc>
          <w:tcPr>
            <w:tcW w:w="15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(62)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29"/>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w:t>
            </w:r>
          </w:p>
        </w:tc>
        <w:tc>
          <w:tcPr>
            <w:tcW w:w="15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7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end of year</w:t>
            </w:r>
          </w:p>
        </w:tc>
        <w:tc>
          <w:tcPr>
            <w:tcW w:w="15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219</w:t>
            </w:r>
          </w:p>
        </w:tc>
        <w:tc>
          <w:tcPr>
            <w:tcW w:w="158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162</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0"/>
        </w:trPr>
        <w:tc>
          <w:tcPr>
            <w:tcW w:w="71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464"/>
        </w:trPr>
        <w:tc>
          <w:tcPr>
            <w:tcW w:w="7100" w:type="dxa"/>
            <w:vAlign w:val="bottom"/>
          </w:tcPr>
          <w:p>
            <w:pPr>
              <w:spacing w:after="0"/>
              <w:rPr>
                <w:sz w:val="20"/>
                <w:szCs w:val="20"/>
                <w:color w:val="auto"/>
              </w:rPr>
            </w:pPr>
            <w:r>
              <w:rPr>
                <w:rFonts w:ascii="Arial" w:cs="Arial" w:eastAsia="Arial" w:hAnsi="Arial"/>
                <w:sz w:val="18"/>
                <w:szCs w:val="18"/>
                <w:color w:val="auto"/>
              </w:rPr>
              <w:t>Weighted average grant date fair values of restricted Common Stock are as follows:</w:t>
            </w:r>
          </w:p>
        </w:tc>
        <w:tc>
          <w:tcPr>
            <w:tcW w:w="1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2"/>
        </w:trPr>
        <w:tc>
          <w:tcPr>
            <w:tcW w:w="7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23"/>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(Dollars)</w:t>
            </w:r>
          </w:p>
        </w:tc>
        <w:tc>
          <w:tcPr>
            <w:tcW w:w="15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2024</w:t>
            </w:r>
          </w:p>
        </w:tc>
        <w:tc>
          <w:tcPr>
            <w:tcW w:w="15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r>
      <w:tr>
        <w:trPr>
          <w:trHeight w:val="250"/>
        </w:trPr>
        <w:tc>
          <w:tcPr>
            <w:tcW w:w="7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beginning of year</w:t>
            </w:r>
          </w:p>
        </w:tc>
        <w:tc>
          <w:tcPr>
            <w:tcW w:w="15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21.14</w:t>
            </w:r>
          </w:p>
        </w:tc>
        <w:tc>
          <w:tcPr>
            <w:tcW w:w="15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21.21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w:t>
            </w: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510"/>
              <w:spacing w:after="0"/>
              <w:rPr>
                <w:sz w:val="20"/>
                <w:szCs w:val="20"/>
                <w:color w:val="auto"/>
              </w:rPr>
            </w:pPr>
            <w:r>
              <w:rPr>
                <w:rFonts w:ascii="Arial" w:cs="Arial" w:eastAsia="Arial" w:hAnsi="Arial"/>
                <w:sz w:val="18"/>
                <w:szCs w:val="18"/>
                <w:color w:val="auto"/>
              </w:rPr>
              <w:t>9.56</w:t>
            </w:r>
          </w:p>
        </w:tc>
        <w:tc>
          <w:tcPr>
            <w:tcW w:w="1580" w:type="dxa"/>
            <w:vAlign w:val="bottom"/>
          </w:tcPr>
          <w:p>
            <w:pPr>
              <w:jc w:val="right"/>
              <w:ind w:right="510"/>
              <w:spacing w:after="0"/>
              <w:rPr>
                <w:sz w:val="20"/>
                <w:szCs w:val="20"/>
                <w:color w:val="auto"/>
              </w:rPr>
            </w:pPr>
            <w:r>
              <w:rPr>
                <w:rFonts w:ascii="Arial" w:cs="Arial" w:eastAsia="Arial" w:hAnsi="Arial"/>
                <w:sz w:val="18"/>
                <w:szCs w:val="18"/>
                <w:color w:val="auto"/>
              </w:rPr>
              <w:t>17.87</w:t>
            </w:r>
          </w:p>
        </w:tc>
        <w:tc>
          <w:tcPr>
            <w:tcW w:w="1060" w:type="dxa"/>
            <w:vAlign w:val="bottom"/>
          </w:tcPr>
          <w:p>
            <w:pPr>
              <w:jc w:val="right"/>
              <w:spacing w:after="0"/>
              <w:rPr>
                <w:sz w:val="20"/>
                <w:szCs w:val="20"/>
                <w:color w:val="auto"/>
              </w:rPr>
            </w:pPr>
            <w:r>
              <w:rPr>
                <w:rFonts w:ascii="Arial" w:cs="Arial" w:eastAsia="Arial" w:hAnsi="Arial"/>
                <w:sz w:val="18"/>
                <w:szCs w:val="18"/>
                <w:color w:val="auto"/>
              </w:rPr>
              <w:t>30.01</w:t>
            </w:r>
          </w:p>
        </w:tc>
      </w:tr>
      <w:tr>
        <w:trPr>
          <w:trHeight w:val="23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11.79</w:t>
            </w:r>
          </w:p>
        </w:tc>
        <w:tc>
          <w:tcPr>
            <w:tcW w:w="15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17.27</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w:t>
            </w:r>
          </w:p>
        </w:tc>
      </w:tr>
      <w:tr>
        <w:trPr>
          <w:trHeight w:val="229"/>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14.24</w:t>
            </w:r>
          </w:p>
        </w:tc>
        <w:tc>
          <w:tcPr>
            <w:tcW w:w="15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24.04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23.60</w:t>
            </w:r>
          </w:p>
        </w:tc>
      </w:tr>
      <w:tr>
        <w:trPr>
          <w:trHeight w:val="248"/>
        </w:trPr>
        <w:tc>
          <w:tcPr>
            <w:tcW w:w="7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end of year</w:t>
            </w:r>
          </w:p>
        </w:tc>
        <w:tc>
          <w:tcPr>
            <w:tcW w:w="15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17.74</w:t>
            </w:r>
          </w:p>
        </w:tc>
        <w:tc>
          <w:tcPr>
            <w:tcW w:w="158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21.14</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21.21</w:t>
            </w:r>
          </w:p>
        </w:tc>
      </w:tr>
      <w:tr>
        <w:trPr>
          <w:trHeight w:val="20"/>
        </w:trPr>
        <w:tc>
          <w:tcPr>
            <w:tcW w:w="71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Total unrecognized compensation expense for unvested restricted Common Stock at September 29, 2024 is $1.3 million, which will be recognized over a weighted average period of 1.4 years.</w:t>
      </w:r>
    </w:p>
    <w:p>
      <w:pPr>
        <w:spacing w:after="0" w:line="112" w:lineRule="exact"/>
        <w:rPr>
          <w:sz w:val="20"/>
          <w:szCs w:val="20"/>
          <w:color w:val="auto"/>
        </w:rPr>
      </w:pPr>
    </w:p>
    <w:p>
      <w:pPr>
        <w:ind w:right="820"/>
        <w:spacing w:after="0" w:line="461" w:lineRule="auto"/>
        <w:rPr>
          <w:sz w:val="20"/>
          <w:szCs w:val="20"/>
          <w:color w:val="auto"/>
        </w:rPr>
      </w:pPr>
      <w:r>
        <w:rPr>
          <w:rFonts w:ascii="Arial" w:cs="Arial" w:eastAsia="Arial" w:hAnsi="Arial"/>
          <w:sz w:val="18"/>
          <w:szCs w:val="18"/>
          <w:color w:val="auto"/>
        </w:rPr>
        <w:t xml:space="preserve">The total fair value of shares that vested during 2024, 2023, and 2022 were $0.4 million, $1.1 million, and $1.4 million, respectively. </w:t>
      </w:r>
      <w:r>
        <w:rPr>
          <w:rFonts w:ascii="Arial" w:cs="Arial" w:eastAsia="Arial" w:hAnsi="Arial"/>
          <w:sz w:val="18"/>
          <w:szCs w:val="18"/>
          <w:b w:val="1"/>
          <w:bCs w:val="1"/>
          <w:color w:val="auto"/>
        </w:rPr>
        <w:t>Employee Stock Purchase Plans</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27,000 shares of Common Stock available for issuance pursuant to our Employee Stock Purchase Plan. We also have 870 shares of Common Stock available for issuance under our Supplemental Employee Stock Purchase Plan. There has been no activity under these plans in 2024, 2023, or 2022.</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INCOME TAXES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Income tax (benefit) expense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4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2024</w:t>
            </w:r>
          </w:p>
        </w:tc>
        <w:tc>
          <w:tcPr>
            <w:tcW w:w="15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r>
      <w:tr>
        <w:trPr>
          <w:trHeight w:val="506"/>
        </w:trPr>
        <w:tc>
          <w:tcPr>
            <w:tcW w:w="4520" w:type="dxa"/>
            <w:vAlign w:val="bottom"/>
          </w:tcPr>
          <w:p>
            <w:pPr>
              <w:ind w:left="20"/>
              <w:spacing w:after="0"/>
              <w:rPr>
                <w:sz w:val="20"/>
                <w:szCs w:val="20"/>
                <w:color w:val="auto"/>
              </w:rPr>
            </w:pPr>
            <w:r>
              <w:rPr>
                <w:rFonts w:ascii="Arial" w:cs="Arial" w:eastAsia="Arial" w:hAnsi="Arial"/>
                <w:sz w:val="18"/>
                <w:szCs w:val="18"/>
                <w:color w:val="auto"/>
              </w:rPr>
              <w:t>Current Taxes:</w:t>
            </w:r>
          </w:p>
        </w:tc>
        <w:tc>
          <w:tcPr>
            <w:tcW w:w="40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61"/>
        </w:trPr>
        <w:tc>
          <w:tcPr>
            <w:tcW w:w="4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40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2,430</w:t>
            </w:r>
          </w:p>
        </w:tc>
        <w:tc>
          <w:tcPr>
            <w:tcW w:w="15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4,528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4,932</w:t>
            </w:r>
          </w:p>
        </w:tc>
      </w:tr>
      <w:tr>
        <w:trPr>
          <w:trHeight w:val="252"/>
        </w:trPr>
        <w:tc>
          <w:tcPr>
            <w:tcW w:w="45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State</w:t>
            </w:r>
          </w:p>
        </w:tc>
        <w:tc>
          <w:tcPr>
            <w:tcW w:w="4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488</w:t>
            </w:r>
          </w:p>
        </w:tc>
        <w:tc>
          <w:tcPr>
            <w:tcW w:w="15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(336)</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r>
      <w:tr>
        <w:trPr>
          <w:trHeight w:val="250"/>
        </w:trPr>
        <w:tc>
          <w:tcPr>
            <w:tcW w:w="4520" w:type="dxa"/>
            <w:vAlign w:val="bottom"/>
            <w:tcBorders>
              <w:bottom w:val="single" w:sz="8" w:color="auto"/>
            </w:tcBorders>
            <w:shd w:val="clear" w:color="auto" w:fill="CCEEFF"/>
          </w:tcPr>
          <w:p>
            <w:pPr>
              <w:spacing w:after="0"/>
              <w:rPr>
                <w:sz w:val="21"/>
                <w:szCs w:val="21"/>
                <w:color w:val="auto"/>
              </w:rPr>
            </w:pPr>
          </w:p>
        </w:tc>
        <w:tc>
          <w:tcPr>
            <w:tcW w:w="40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2,918</w:t>
            </w:r>
          </w:p>
        </w:tc>
        <w:tc>
          <w:tcPr>
            <w:tcW w:w="15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4,192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5,074</w:t>
            </w:r>
          </w:p>
        </w:tc>
      </w:tr>
      <w:tr>
        <w:trPr>
          <w:trHeight w:val="250"/>
        </w:trPr>
        <w:tc>
          <w:tcPr>
            <w:tcW w:w="4520" w:type="dxa"/>
            <w:vAlign w:val="bottom"/>
          </w:tcPr>
          <w:p>
            <w:pPr>
              <w:ind w:left="20"/>
              <w:spacing w:after="0"/>
              <w:rPr>
                <w:sz w:val="20"/>
                <w:szCs w:val="20"/>
                <w:color w:val="auto"/>
              </w:rPr>
            </w:pPr>
            <w:r>
              <w:rPr>
                <w:rFonts w:ascii="Arial" w:cs="Arial" w:eastAsia="Arial" w:hAnsi="Arial"/>
                <w:sz w:val="18"/>
                <w:szCs w:val="18"/>
                <w:color w:val="auto"/>
              </w:rPr>
              <w:t>Deferred Taxes:</w:t>
            </w:r>
          </w:p>
        </w:tc>
        <w:tc>
          <w:tcPr>
            <w:tcW w:w="40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1"/>
        </w:trPr>
        <w:tc>
          <w:tcPr>
            <w:tcW w:w="4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40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(9,388)</w:t>
            </w:r>
          </w:p>
        </w:tc>
        <w:tc>
          <w:tcPr>
            <w:tcW w:w="15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(4,973)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(3,913)</w:t>
            </w:r>
          </w:p>
        </w:tc>
      </w:tr>
      <w:tr>
        <w:trPr>
          <w:trHeight w:val="252"/>
        </w:trPr>
        <w:tc>
          <w:tcPr>
            <w:tcW w:w="45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State</w:t>
            </w:r>
          </w:p>
        </w:tc>
        <w:tc>
          <w:tcPr>
            <w:tcW w:w="4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(1,140)</w:t>
            </w:r>
          </w:p>
        </w:tc>
        <w:tc>
          <w:tcPr>
            <w:tcW w:w="15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432</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r>
      <w:tr>
        <w:trPr>
          <w:trHeight w:val="250"/>
        </w:trPr>
        <w:tc>
          <w:tcPr>
            <w:tcW w:w="4520" w:type="dxa"/>
            <w:vAlign w:val="bottom"/>
            <w:tcBorders>
              <w:bottom w:val="single" w:sz="8" w:color="auto"/>
            </w:tcBorders>
            <w:shd w:val="clear" w:color="auto" w:fill="CCEEFF"/>
          </w:tcPr>
          <w:p>
            <w:pPr>
              <w:spacing w:after="0"/>
              <w:rPr>
                <w:sz w:val="21"/>
                <w:szCs w:val="21"/>
                <w:color w:val="auto"/>
              </w:rPr>
            </w:pPr>
          </w:p>
        </w:tc>
        <w:tc>
          <w:tcPr>
            <w:tcW w:w="404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(10,528)</w:t>
            </w:r>
          </w:p>
        </w:tc>
        <w:tc>
          <w:tcPr>
            <w:tcW w:w="158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(4,541)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(4,376)</w:t>
            </w:r>
          </w:p>
        </w:tc>
      </w:tr>
      <w:tr>
        <w:trPr>
          <w:trHeight w:val="250"/>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expense</w:t>
            </w:r>
          </w:p>
        </w:tc>
        <w:tc>
          <w:tcPr>
            <w:tcW w:w="4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(7,610)</w:t>
            </w:r>
          </w:p>
        </w:tc>
        <w:tc>
          <w:tcPr>
            <w:tcW w:w="15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(349)</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w:t>
            </w:r>
          </w:p>
        </w:tc>
      </w:tr>
      <w:tr>
        <w:trPr>
          <w:trHeight w:val="25"/>
        </w:trPr>
        <w:tc>
          <w:tcPr>
            <w:tcW w:w="452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Income tax (benefit) expense related to operations differs from the amounts computed by applying the U.S. federal income tax rate to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income before income taxes. The reasons for these differences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(Percent of (Loss) Income Before Income Taxes)</w:t>
            </w:r>
          </w:p>
        </w:tc>
        <w:tc>
          <w:tcPr>
            <w:tcW w:w="28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2024</w:t>
            </w:r>
          </w:p>
        </w:tc>
        <w:tc>
          <w:tcPr>
            <w:tcW w:w="15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r>
      <w:tr>
        <w:trPr>
          <w:trHeight w:val="255"/>
        </w:trPr>
        <w:tc>
          <w:tcPr>
            <w:tcW w:w="582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7"/>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Computed “expected” income tax expense</w:t>
            </w:r>
          </w:p>
        </w:tc>
        <w:tc>
          <w:tcPr>
            <w:tcW w:w="28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21.0</w:t>
            </w:r>
          </w:p>
        </w:tc>
        <w:tc>
          <w:tcPr>
            <w:tcW w:w="1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21.0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52"/>
        </w:trPr>
        <w:tc>
          <w:tcPr>
            <w:tcW w:w="5820" w:type="dxa"/>
            <w:vAlign w:val="bottom"/>
          </w:tcPr>
          <w:p>
            <w:pPr>
              <w:ind w:left="20"/>
              <w:spacing w:after="0"/>
              <w:rPr>
                <w:sz w:val="20"/>
                <w:szCs w:val="20"/>
                <w:color w:val="auto"/>
              </w:rPr>
            </w:pPr>
            <w:r>
              <w:rPr>
                <w:rFonts w:ascii="Arial" w:cs="Arial" w:eastAsia="Arial" w:hAnsi="Arial"/>
                <w:sz w:val="18"/>
                <w:szCs w:val="18"/>
                <w:color w:val="auto"/>
              </w:rPr>
              <w:t>State income tax benefit, net of federal tax benefit</w:t>
            </w:r>
          </w:p>
        </w:tc>
        <w:tc>
          <w:tcPr>
            <w:tcW w:w="2800" w:type="dxa"/>
            <w:vAlign w:val="bottom"/>
          </w:tcPr>
          <w:p>
            <w:pPr>
              <w:jc w:val="right"/>
              <w:ind w:right="530"/>
              <w:spacing w:after="0"/>
              <w:rPr>
                <w:sz w:val="20"/>
                <w:szCs w:val="20"/>
                <w:color w:val="auto"/>
              </w:rPr>
            </w:pPr>
            <w:r>
              <w:rPr>
                <w:rFonts w:ascii="Arial" w:cs="Arial" w:eastAsia="Arial" w:hAnsi="Arial"/>
                <w:sz w:val="18"/>
                <w:szCs w:val="18"/>
                <w:color w:val="auto"/>
              </w:rPr>
              <w:t>3.8</w:t>
            </w:r>
          </w:p>
        </w:tc>
        <w:tc>
          <w:tcPr>
            <w:tcW w:w="1520" w:type="dxa"/>
            <w:vAlign w:val="bottom"/>
          </w:tcPr>
          <w:p>
            <w:pPr>
              <w:jc w:val="right"/>
              <w:ind w:right="410"/>
              <w:spacing w:after="0"/>
              <w:rPr>
                <w:sz w:val="20"/>
                <w:szCs w:val="20"/>
                <w:color w:val="auto"/>
              </w:rPr>
            </w:pPr>
            <w:r>
              <w:rPr>
                <w:rFonts w:ascii="Arial" w:cs="Arial" w:eastAsia="Arial" w:hAnsi="Arial"/>
                <w:sz w:val="18"/>
                <w:szCs w:val="18"/>
                <w:color w:val="auto"/>
              </w:rPr>
              <w:t>(5.4)</w:t>
            </w:r>
          </w:p>
        </w:tc>
        <w:tc>
          <w:tcPr>
            <w:tcW w:w="11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61"/>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of associated companies</w:t>
            </w:r>
          </w:p>
        </w:tc>
        <w:tc>
          <w:tcPr>
            <w:tcW w:w="28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2.3</w:t>
            </w:r>
          </w:p>
        </w:tc>
        <w:tc>
          <w:tcPr>
            <w:tcW w:w="1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31.2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r>
      <w:tr>
        <w:trPr>
          <w:trHeight w:val="252"/>
        </w:trPr>
        <w:tc>
          <w:tcPr>
            <w:tcW w:w="5820" w:type="dxa"/>
            <w:vAlign w:val="bottom"/>
          </w:tcPr>
          <w:p>
            <w:pPr>
              <w:ind w:left="20"/>
              <w:spacing w:after="0"/>
              <w:rPr>
                <w:sz w:val="20"/>
                <w:szCs w:val="20"/>
                <w:color w:val="auto"/>
              </w:rPr>
            </w:pPr>
            <w:r>
              <w:rPr>
                <w:rFonts w:ascii="Arial" w:cs="Arial" w:eastAsia="Arial" w:hAnsi="Arial"/>
                <w:sz w:val="18"/>
                <w:szCs w:val="18"/>
                <w:color w:val="auto"/>
              </w:rPr>
              <w:t>Resolution of tax matters</w:t>
            </w:r>
          </w:p>
        </w:tc>
        <w:tc>
          <w:tcPr>
            <w:tcW w:w="2800" w:type="dxa"/>
            <w:vAlign w:val="bottom"/>
          </w:tcPr>
          <w:p>
            <w:pPr>
              <w:jc w:val="right"/>
              <w:ind w:right="530"/>
              <w:spacing w:after="0"/>
              <w:rPr>
                <w:sz w:val="20"/>
                <w:szCs w:val="20"/>
                <w:color w:val="auto"/>
              </w:rPr>
            </w:pPr>
            <w:r>
              <w:rPr>
                <w:rFonts w:ascii="Arial" w:cs="Arial" w:eastAsia="Arial" w:hAnsi="Arial"/>
                <w:sz w:val="18"/>
                <w:szCs w:val="18"/>
                <w:color w:val="auto"/>
              </w:rPr>
              <w:t>1.8</w:t>
            </w:r>
          </w:p>
        </w:tc>
        <w:tc>
          <w:tcPr>
            <w:tcW w:w="1520" w:type="dxa"/>
            <w:vAlign w:val="bottom"/>
          </w:tcPr>
          <w:p>
            <w:pPr>
              <w:jc w:val="right"/>
              <w:ind w:right="470"/>
              <w:spacing w:after="0"/>
              <w:rPr>
                <w:sz w:val="20"/>
                <w:szCs w:val="20"/>
                <w:color w:val="auto"/>
              </w:rPr>
            </w:pPr>
            <w:r>
              <w:rPr>
                <w:rFonts w:ascii="Arial" w:cs="Arial" w:eastAsia="Arial" w:hAnsi="Arial"/>
                <w:sz w:val="18"/>
                <w:szCs w:val="18"/>
                <w:color w:val="auto"/>
              </w:rPr>
              <w:t>69.7</w:t>
            </w:r>
          </w:p>
        </w:tc>
        <w:tc>
          <w:tcPr>
            <w:tcW w:w="1100" w:type="dxa"/>
            <w:vAlign w:val="bottom"/>
          </w:tcPr>
          <w:p>
            <w:pPr>
              <w:jc w:val="right"/>
              <w:spacing w:after="0"/>
              <w:rPr>
                <w:sz w:val="20"/>
                <w:szCs w:val="20"/>
                <w:color w:val="auto"/>
              </w:rPr>
            </w:pPr>
            <w:r>
              <w:rPr>
                <w:rFonts w:ascii="Arial" w:cs="Arial" w:eastAsia="Arial" w:hAnsi="Arial"/>
                <w:sz w:val="18"/>
                <w:szCs w:val="18"/>
                <w:color w:val="auto"/>
              </w:rPr>
              <w:t>(32.2)</w:t>
            </w:r>
          </w:p>
        </w:tc>
      </w:tr>
      <w:tr>
        <w:trPr>
          <w:trHeight w:val="261"/>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Remeasurement due to state rate changes</w:t>
            </w:r>
          </w:p>
        </w:tc>
        <w:tc>
          <w:tcPr>
            <w:tcW w:w="28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2.5</w:t>
            </w:r>
          </w:p>
        </w:tc>
        <w:tc>
          <w:tcPr>
            <w:tcW w:w="15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(84.0)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52"/>
        </w:trPr>
        <w:tc>
          <w:tcPr>
            <w:tcW w:w="5820" w:type="dxa"/>
            <w:vAlign w:val="bottom"/>
          </w:tcPr>
          <w:p>
            <w:pPr>
              <w:ind w:left="20"/>
              <w:spacing w:after="0"/>
              <w:rPr>
                <w:sz w:val="20"/>
                <w:szCs w:val="20"/>
                <w:color w:val="auto"/>
              </w:rPr>
            </w:pPr>
            <w:r>
              <w:rPr>
                <w:rFonts w:ascii="Arial" w:cs="Arial" w:eastAsia="Arial" w:hAnsi="Arial"/>
                <w:sz w:val="18"/>
                <w:szCs w:val="18"/>
                <w:color w:val="auto"/>
              </w:rPr>
              <w:t>Non-deductible expenses</w:t>
            </w:r>
          </w:p>
        </w:tc>
        <w:tc>
          <w:tcPr>
            <w:tcW w:w="2800" w:type="dxa"/>
            <w:vAlign w:val="bottom"/>
          </w:tcPr>
          <w:p>
            <w:pPr>
              <w:jc w:val="right"/>
              <w:ind w:right="470"/>
              <w:spacing w:after="0"/>
              <w:rPr>
                <w:sz w:val="20"/>
                <w:szCs w:val="20"/>
                <w:color w:val="auto"/>
              </w:rPr>
            </w:pPr>
            <w:r>
              <w:rPr>
                <w:rFonts w:ascii="Arial" w:cs="Arial" w:eastAsia="Arial" w:hAnsi="Arial"/>
                <w:sz w:val="18"/>
                <w:szCs w:val="18"/>
                <w:color w:val="auto"/>
              </w:rPr>
              <w:t>(3.6)</w:t>
            </w:r>
          </w:p>
        </w:tc>
        <w:tc>
          <w:tcPr>
            <w:tcW w:w="1520" w:type="dxa"/>
            <w:vAlign w:val="bottom"/>
          </w:tcPr>
          <w:p>
            <w:pPr>
              <w:jc w:val="right"/>
              <w:ind w:right="410"/>
              <w:spacing w:after="0"/>
              <w:rPr>
                <w:sz w:val="20"/>
                <w:szCs w:val="20"/>
                <w:color w:val="auto"/>
              </w:rPr>
            </w:pPr>
            <w:r>
              <w:rPr>
                <w:rFonts w:ascii="Arial" w:cs="Arial" w:eastAsia="Arial" w:hAnsi="Arial"/>
                <w:sz w:val="18"/>
                <w:szCs w:val="18"/>
                <w:color w:val="auto"/>
              </w:rPr>
              <w:t>(28.5)</w:t>
            </w:r>
          </w:p>
        </w:tc>
        <w:tc>
          <w:tcPr>
            <w:tcW w:w="1100" w:type="dxa"/>
            <w:vAlign w:val="bottom"/>
          </w:tcPr>
          <w:p>
            <w:pPr>
              <w:jc w:val="right"/>
              <w:spacing w:after="0"/>
              <w:rPr>
                <w:sz w:val="20"/>
                <w:szCs w:val="20"/>
                <w:color w:val="auto"/>
              </w:rPr>
            </w:pPr>
            <w:r>
              <w:rPr>
                <w:rFonts w:ascii="Arial" w:cs="Arial" w:eastAsia="Arial" w:hAnsi="Arial"/>
                <w:sz w:val="18"/>
                <w:szCs w:val="18"/>
                <w:color w:val="auto"/>
              </w:rPr>
              <w:t>124.0</w:t>
            </w:r>
          </w:p>
        </w:tc>
      </w:tr>
      <w:tr>
        <w:trPr>
          <w:trHeight w:val="261"/>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to return adjustment</w:t>
            </w:r>
          </w:p>
        </w:tc>
        <w:tc>
          <w:tcPr>
            <w:tcW w:w="28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0.4</w:t>
            </w:r>
          </w:p>
        </w:tc>
        <w:tc>
          <w:tcPr>
            <w:tcW w:w="15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r>
      <w:tr>
        <w:trPr>
          <w:trHeight w:val="252"/>
        </w:trPr>
        <w:tc>
          <w:tcPr>
            <w:tcW w:w="5820" w:type="dxa"/>
            <w:vAlign w:val="bottom"/>
          </w:tcPr>
          <w:p>
            <w:pPr>
              <w:ind w:left="20"/>
              <w:spacing w:after="0"/>
              <w:rPr>
                <w:sz w:val="20"/>
                <w:szCs w:val="20"/>
                <w:color w:val="auto"/>
              </w:rPr>
            </w:pPr>
            <w:r>
              <w:rPr>
                <w:rFonts w:ascii="Arial" w:cs="Arial" w:eastAsia="Arial" w:hAnsi="Arial"/>
                <w:sz w:val="18"/>
                <w:szCs w:val="18"/>
                <w:color w:val="auto"/>
              </w:rPr>
              <w:t>Valuation allowance</w:t>
            </w:r>
          </w:p>
        </w:tc>
        <w:tc>
          <w:tcPr>
            <w:tcW w:w="2800" w:type="dxa"/>
            <w:vAlign w:val="bottom"/>
          </w:tcPr>
          <w:p>
            <w:pPr>
              <w:jc w:val="right"/>
              <w:ind w:right="470"/>
              <w:spacing w:after="0"/>
              <w:rPr>
                <w:sz w:val="20"/>
                <w:szCs w:val="20"/>
                <w:color w:val="auto"/>
              </w:rPr>
            </w:pPr>
            <w:r>
              <w:rPr>
                <w:rFonts w:ascii="Arial" w:cs="Arial" w:eastAsia="Arial" w:hAnsi="Arial"/>
                <w:sz w:val="18"/>
                <w:szCs w:val="18"/>
                <w:color w:val="auto"/>
              </w:rPr>
              <w:t>(2.4)</w:t>
            </w:r>
          </w:p>
        </w:tc>
        <w:tc>
          <w:tcPr>
            <w:tcW w:w="1520" w:type="dxa"/>
            <w:vAlign w:val="bottom"/>
          </w:tcPr>
          <w:p>
            <w:pPr>
              <w:jc w:val="right"/>
              <w:ind w:right="470"/>
              <w:spacing w:after="0"/>
              <w:rPr>
                <w:sz w:val="20"/>
                <w:szCs w:val="20"/>
                <w:color w:val="auto"/>
              </w:rPr>
            </w:pPr>
            <w:r>
              <w:rPr>
                <w:rFonts w:ascii="Arial" w:cs="Arial" w:eastAsia="Arial" w:hAnsi="Arial"/>
                <w:sz w:val="18"/>
                <w:szCs w:val="18"/>
                <w:color w:val="auto"/>
              </w:rPr>
              <w:t>28.8</w:t>
            </w:r>
          </w:p>
        </w:tc>
        <w:tc>
          <w:tcPr>
            <w:tcW w:w="1100" w:type="dxa"/>
            <w:vAlign w:val="bottom"/>
          </w:tcPr>
          <w:p>
            <w:pPr>
              <w:jc w:val="right"/>
              <w:spacing w:after="0"/>
              <w:rPr>
                <w:sz w:val="20"/>
                <w:szCs w:val="20"/>
                <w:color w:val="auto"/>
              </w:rPr>
            </w:pPr>
            <w:r>
              <w:rPr>
                <w:rFonts w:ascii="Arial" w:cs="Arial" w:eastAsia="Arial" w:hAnsi="Arial"/>
                <w:sz w:val="18"/>
                <w:szCs w:val="18"/>
                <w:color w:val="auto"/>
              </w:rPr>
              <w:t>(123.3)</w:t>
            </w:r>
          </w:p>
        </w:tc>
      </w:tr>
      <w:tr>
        <w:trPr>
          <w:trHeight w:val="261"/>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net operating loss expiration</w:t>
            </w:r>
          </w:p>
        </w:tc>
        <w:tc>
          <w:tcPr>
            <w:tcW w:w="28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(3.0)</w:t>
            </w:r>
          </w:p>
        </w:tc>
        <w:tc>
          <w:tcPr>
            <w:tcW w:w="15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(12.8)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w:t>
            </w:r>
          </w:p>
        </w:tc>
      </w:tr>
      <w:tr>
        <w:trPr>
          <w:trHeight w:val="252"/>
        </w:trPr>
        <w:tc>
          <w:tcPr>
            <w:tcW w:w="5820" w:type="dxa"/>
            <w:vAlign w:val="bottom"/>
          </w:tcPr>
          <w:p>
            <w:pPr>
              <w:ind w:left="20"/>
              <w:spacing w:after="0"/>
              <w:rPr>
                <w:sz w:val="20"/>
                <w:szCs w:val="20"/>
                <w:color w:val="auto"/>
              </w:rPr>
            </w:pPr>
            <w:r>
              <w:rPr>
                <w:rFonts w:ascii="Arial" w:cs="Arial" w:eastAsia="Arial" w:hAnsi="Arial"/>
                <w:sz w:val="18"/>
                <w:szCs w:val="18"/>
                <w:color w:val="auto"/>
              </w:rPr>
              <w:t>Wage credit, net addback</w:t>
            </w:r>
          </w:p>
        </w:tc>
        <w:tc>
          <w:tcPr>
            <w:tcW w:w="2800" w:type="dxa"/>
            <w:vAlign w:val="bottom"/>
          </w:tcPr>
          <w:p>
            <w:pPr>
              <w:jc w:val="right"/>
              <w:ind w:right="530"/>
              <w:spacing w:after="0"/>
              <w:rPr>
                <w:sz w:val="20"/>
                <w:szCs w:val="20"/>
                <w:color w:val="auto"/>
              </w:rPr>
            </w:pPr>
            <w:r>
              <w:rPr>
                <w:rFonts w:ascii="Arial" w:cs="Arial" w:eastAsia="Arial" w:hAnsi="Arial"/>
                <w:sz w:val="18"/>
                <w:szCs w:val="18"/>
                <w:color w:val="auto"/>
              </w:rPr>
              <w:t>0.1</w:t>
            </w:r>
          </w:p>
        </w:tc>
        <w:tc>
          <w:tcPr>
            <w:tcW w:w="15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61"/>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valuation</w:t>
            </w:r>
          </w:p>
        </w:tc>
        <w:tc>
          <w:tcPr>
            <w:tcW w:w="28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52"/>
        </w:trPr>
        <w:tc>
          <w:tcPr>
            <w:tcW w:w="5820" w:type="dxa"/>
            <w:vAlign w:val="bottom"/>
          </w:tcPr>
          <w:p>
            <w:pPr>
              <w:ind w:left="20"/>
              <w:spacing w:after="0"/>
              <w:rPr>
                <w:sz w:val="20"/>
                <w:szCs w:val="20"/>
                <w:color w:val="auto"/>
              </w:rPr>
            </w:pPr>
            <w:r>
              <w:rPr>
                <w:rFonts w:ascii="Arial" w:cs="Arial" w:eastAsia="Arial" w:hAnsi="Arial"/>
                <w:sz w:val="18"/>
                <w:szCs w:val="18"/>
                <w:color w:val="auto"/>
              </w:rPr>
              <w:t>Interest and penalties</w:t>
            </w:r>
          </w:p>
        </w:tc>
        <w:tc>
          <w:tcPr>
            <w:tcW w:w="2800" w:type="dxa"/>
            <w:vAlign w:val="bottom"/>
          </w:tcPr>
          <w:p>
            <w:pPr>
              <w:jc w:val="right"/>
              <w:ind w:right="470"/>
              <w:spacing w:after="0"/>
              <w:rPr>
                <w:sz w:val="20"/>
                <w:szCs w:val="20"/>
                <w:color w:val="auto"/>
              </w:rPr>
            </w:pPr>
            <w:r>
              <w:rPr>
                <w:rFonts w:ascii="Arial" w:cs="Arial" w:eastAsia="Arial" w:hAnsi="Arial"/>
                <w:sz w:val="18"/>
                <w:szCs w:val="18"/>
                <w:color w:val="auto"/>
              </w:rPr>
              <w:t>(0.3)</w:t>
            </w:r>
          </w:p>
        </w:tc>
        <w:tc>
          <w:tcPr>
            <w:tcW w:w="1520" w:type="dxa"/>
            <w:vAlign w:val="bottom"/>
          </w:tcPr>
          <w:p>
            <w:pPr>
              <w:jc w:val="right"/>
              <w:ind w:right="410"/>
              <w:spacing w:after="0"/>
              <w:rPr>
                <w:sz w:val="20"/>
                <w:szCs w:val="20"/>
                <w:color w:val="auto"/>
              </w:rPr>
            </w:pPr>
            <w:r>
              <w:rPr>
                <w:rFonts w:ascii="Arial" w:cs="Arial" w:eastAsia="Arial" w:hAnsi="Arial"/>
                <w:sz w:val="18"/>
                <w:szCs w:val="18"/>
                <w:color w:val="auto"/>
              </w:rPr>
              <w:t>(9.0)</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1"/>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Recognition of basis differences</w:t>
            </w:r>
          </w:p>
        </w:tc>
        <w:tc>
          <w:tcPr>
            <w:tcW w:w="28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1.6</w:t>
            </w:r>
          </w:p>
        </w:tc>
        <w:tc>
          <w:tcPr>
            <w:tcW w:w="1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7.5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2"/>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28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0.2</w:t>
            </w:r>
          </w:p>
        </w:tc>
        <w:tc>
          <w:tcPr>
            <w:tcW w:w="15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(6.7)</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5"/>
        </w:trPr>
        <w:tc>
          <w:tcPr>
            <w:tcW w:w="5820" w:type="dxa"/>
            <w:vAlign w:val="bottom"/>
            <w:tcBorders>
              <w:bottom w:val="single" w:sz="8" w:color="auto"/>
            </w:tcBorders>
            <w:shd w:val="clear" w:color="auto" w:fill="CCEEFF"/>
          </w:tcPr>
          <w:p>
            <w:pPr>
              <w:spacing w:after="0"/>
              <w:rPr>
                <w:sz w:val="23"/>
                <w:szCs w:val="23"/>
                <w:color w:val="auto"/>
              </w:rPr>
            </w:pPr>
          </w:p>
        </w:tc>
        <w:tc>
          <w:tcPr>
            <w:tcW w:w="280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24.4</w:t>
            </w:r>
          </w:p>
        </w:tc>
        <w:tc>
          <w:tcPr>
            <w:tcW w:w="152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11.3</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w:t>
            </w:r>
          </w:p>
        </w:tc>
      </w:tr>
      <w:tr>
        <w:trPr>
          <w:trHeight w:val="20"/>
        </w:trPr>
        <w:tc>
          <w:tcPr>
            <w:tcW w:w="5820" w:type="dxa"/>
            <w:vAlign w:val="bottom"/>
            <w:tcBorders>
              <w:top w:val="single" w:sz="8" w:color="CCEEFF"/>
              <w:bottom w:val="single" w:sz="8" w:color="auto"/>
            </w:tcBorders>
          </w:tcPr>
          <w:p>
            <w:pPr>
              <w:spacing w:after="0" w:line="20" w:lineRule="exact"/>
              <w:rPr>
                <w:sz w:val="1"/>
                <w:szCs w:val="1"/>
                <w:color w:val="auto"/>
              </w:rPr>
            </w:pPr>
          </w:p>
        </w:tc>
        <w:tc>
          <w:tcPr>
            <w:tcW w:w="28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Net deferred income tax liabilities consist of the following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80" w:type="dxa"/>
            <w:vAlign w:val="bottom"/>
          </w:tcPr>
          <w:p>
            <w:pPr>
              <w:spacing w:after="0"/>
              <w:rPr>
                <w:sz w:val="17"/>
                <w:szCs w:val="17"/>
                <w:color w:val="auto"/>
              </w:rPr>
            </w:pPr>
          </w:p>
        </w:tc>
        <w:tc>
          <w:tcPr>
            <w:tcW w:w="2080" w:type="dxa"/>
            <w:vAlign w:val="bottom"/>
          </w:tcPr>
          <w:p>
            <w:pPr>
              <w:jc w:val="right"/>
              <w:ind w:right="350"/>
              <w:spacing w:after="0"/>
              <w:rPr>
                <w:sz w:val="20"/>
                <w:szCs w:val="20"/>
                <w:color w:val="auto"/>
              </w:rPr>
            </w:pPr>
            <w:r>
              <w:rPr>
                <w:rFonts w:ascii="Arial" w:cs="Arial" w:eastAsia="Arial" w:hAnsi="Arial"/>
                <w:sz w:val="18"/>
                <w:szCs w:val="18"/>
                <w:color w:val="auto"/>
              </w:rPr>
              <w:t>September 29</w:t>
            </w:r>
          </w:p>
        </w:tc>
        <w:tc>
          <w:tcPr>
            <w:tcW w:w="1380" w:type="dxa"/>
            <w:vAlign w:val="bottom"/>
          </w:tcPr>
          <w:p>
            <w:pPr>
              <w:jc w:val="right"/>
              <w:spacing w:after="0"/>
              <w:rPr>
                <w:sz w:val="20"/>
                <w:szCs w:val="20"/>
                <w:color w:val="auto"/>
              </w:rPr>
            </w:pPr>
            <w:r>
              <w:rPr>
                <w:rFonts w:ascii="Arial" w:cs="Arial" w:eastAsia="Arial" w:hAnsi="Arial"/>
                <w:sz w:val="18"/>
                <w:szCs w:val="18"/>
                <w:color w:val="auto"/>
              </w:rPr>
              <w:t>September 24</w:t>
            </w:r>
          </w:p>
        </w:tc>
      </w:tr>
      <w:tr>
        <w:trPr>
          <w:trHeight w:val="244"/>
        </w:trPr>
        <w:tc>
          <w:tcPr>
            <w:tcW w:w="77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2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2024</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507"/>
        </w:trPr>
        <w:tc>
          <w:tcPr>
            <w:tcW w:w="7780" w:type="dxa"/>
            <w:vAlign w:val="bottom"/>
          </w:tcPr>
          <w:p>
            <w:pPr>
              <w:ind w:left="20"/>
              <w:spacing w:after="0"/>
              <w:rPr>
                <w:sz w:val="20"/>
                <w:szCs w:val="20"/>
                <w:color w:val="auto"/>
              </w:rPr>
            </w:pPr>
            <w:r>
              <w:rPr>
                <w:rFonts w:ascii="Arial" w:cs="Arial" w:eastAsia="Arial" w:hAnsi="Arial"/>
                <w:sz w:val="18"/>
                <w:szCs w:val="18"/>
                <w:color w:val="auto"/>
              </w:rPr>
              <w:t>Deferred income tax liabilities:</w:t>
            </w:r>
          </w:p>
        </w:tc>
        <w:tc>
          <w:tcPr>
            <w:tcW w:w="20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61"/>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20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(5,327)</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(8,461)</w:t>
            </w:r>
          </w:p>
        </w:tc>
      </w:tr>
      <w:tr>
        <w:trPr>
          <w:trHeight w:val="252"/>
        </w:trPr>
        <w:tc>
          <w:tcPr>
            <w:tcW w:w="7780" w:type="dxa"/>
            <w:vAlign w:val="bottom"/>
          </w:tcPr>
          <w:p>
            <w:pPr>
              <w:ind w:left="20"/>
              <w:spacing w:after="0"/>
              <w:rPr>
                <w:sz w:val="20"/>
                <w:szCs w:val="20"/>
                <w:color w:val="auto"/>
              </w:rPr>
            </w:pPr>
            <w:r>
              <w:rPr>
                <w:rFonts w:ascii="Arial" w:cs="Arial" w:eastAsia="Arial" w:hAnsi="Arial"/>
                <w:sz w:val="18"/>
                <w:szCs w:val="18"/>
                <w:color w:val="auto"/>
              </w:rPr>
              <w:t>Identified intangible assets</w:t>
            </w:r>
          </w:p>
        </w:tc>
        <w:tc>
          <w:tcPr>
            <w:tcW w:w="2080" w:type="dxa"/>
            <w:vAlign w:val="bottom"/>
          </w:tcPr>
          <w:p>
            <w:pPr>
              <w:jc w:val="right"/>
              <w:ind w:right="350"/>
              <w:spacing w:after="0"/>
              <w:rPr>
                <w:sz w:val="20"/>
                <w:szCs w:val="20"/>
                <w:color w:val="auto"/>
              </w:rPr>
            </w:pPr>
            <w:r>
              <w:rPr>
                <w:rFonts w:ascii="Arial" w:cs="Arial" w:eastAsia="Arial" w:hAnsi="Arial"/>
                <w:sz w:val="18"/>
                <w:szCs w:val="18"/>
                <w:color w:val="auto"/>
              </w:rPr>
              <w:t>(15,097)</w:t>
            </w:r>
          </w:p>
        </w:tc>
        <w:tc>
          <w:tcPr>
            <w:tcW w:w="1380" w:type="dxa"/>
            <w:vAlign w:val="bottom"/>
          </w:tcPr>
          <w:p>
            <w:pPr>
              <w:jc w:val="right"/>
              <w:spacing w:after="0"/>
              <w:rPr>
                <w:sz w:val="20"/>
                <w:szCs w:val="20"/>
                <w:color w:val="auto"/>
              </w:rPr>
            </w:pPr>
            <w:r>
              <w:rPr>
                <w:rFonts w:ascii="Arial" w:cs="Arial" w:eastAsia="Arial" w:hAnsi="Arial"/>
                <w:sz w:val="18"/>
                <w:szCs w:val="18"/>
                <w:color w:val="auto"/>
              </w:rPr>
              <w:t>(18,679)</w:t>
            </w:r>
          </w:p>
        </w:tc>
      </w:tr>
      <w:tr>
        <w:trPr>
          <w:trHeight w:val="261"/>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ASC 842 - Leases DTL</w:t>
            </w:r>
          </w:p>
        </w:tc>
        <w:tc>
          <w:tcPr>
            <w:tcW w:w="20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(8,308)</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(9,890)</w:t>
            </w:r>
          </w:p>
        </w:tc>
      </w:tr>
      <w:tr>
        <w:trPr>
          <w:trHeight w:val="252"/>
        </w:trPr>
        <w:tc>
          <w:tcPr>
            <w:tcW w:w="7780" w:type="dxa"/>
            <w:vAlign w:val="bottom"/>
          </w:tcPr>
          <w:p>
            <w:pPr>
              <w:ind w:left="20"/>
              <w:spacing w:after="0"/>
              <w:rPr>
                <w:sz w:val="20"/>
                <w:szCs w:val="20"/>
                <w:color w:val="auto"/>
              </w:rPr>
            </w:pPr>
            <w:r>
              <w:rPr>
                <w:rFonts w:ascii="Arial" w:cs="Arial" w:eastAsia="Arial" w:hAnsi="Arial"/>
                <w:sz w:val="18"/>
                <w:szCs w:val="18"/>
                <w:color w:val="auto"/>
              </w:rPr>
              <w:t>Other</w:t>
            </w:r>
          </w:p>
        </w:tc>
        <w:tc>
          <w:tcPr>
            <w:tcW w:w="2080" w:type="dxa"/>
            <w:vAlign w:val="bottom"/>
          </w:tcPr>
          <w:p>
            <w:pPr>
              <w:jc w:val="right"/>
              <w:ind w:right="350"/>
              <w:spacing w:after="0"/>
              <w:rPr>
                <w:sz w:val="20"/>
                <w:szCs w:val="20"/>
                <w:color w:val="auto"/>
              </w:rPr>
            </w:pPr>
            <w:r>
              <w:rPr>
                <w:rFonts w:ascii="Arial" w:cs="Arial" w:eastAsia="Arial" w:hAnsi="Arial"/>
                <w:sz w:val="18"/>
                <w:szCs w:val="18"/>
                <w:color w:val="auto"/>
              </w:rPr>
              <w:t>(2,145)</w:t>
            </w:r>
          </w:p>
        </w:tc>
        <w:tc>
          <w:tcPr>
            <w:tcW w:w="1380" w:type="dxa"/>
            <w:vAlign w:val="bottom"/>
          </w:tcPr>
          <w:p>
            <w:pPr>
              <w:jc w:val="right"/>
              <w:spacing w:after="0"/>
              <w:rPr>
                <w:sz w:val="20"/>
                <w:szCs w:val="20"/>
                <w:color w:val="auto"/>
              </w:rPr>
            </w:pPr>
            <w:r>
              <w:rPr>
                <w:rFonts w:ascii="Arial" w:cs="Arial" w:eastAsia="Arial" w:hAnsi="Arial"/>
                <w:sz w:val="18"/>
                <w:szCs w:val="18"/>
                <w:color w:val="auto"/>
              </w:rPr>
              <w:t>(2,298)</w:t>
            </w:r>
          </w:p>
        </w:tc>
      </w:tr>
      <w:tr>
        <w:trPr>
          <w:trHeight w:val="256"/>
        </w:trPr>
        <w:tc>
          <w:tcPr>
            <w:tcW w:w="7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20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(31,473)</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(31,296)</w:t>
            </w:r>
          </w:p>
        </w:tc>
      </w:tr>
      <w:tr>
        <w:trPr>
          <w:trHeight w:val="250"/>
        </w:trPr>
        <w:tc>
          <w:tcPr>
            <w:tcW w:w="778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(62,350)</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(70,624)</w:t>
            </w:r>
          </w:p>
        </w:tc>
      </w:tr>
      <w:tr>
        <w:trPr>
          <w:trHeight w:val="255"/>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assets:</w:t>
            </w:r>
          </w:p>
        </w:tc>
        <w:tc>
          <w:tcPr>
            <w:tcW w:w="20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52"/>
        </w:trPr>
        <w:tc>
          <w:tcPr>
            <w:tcW w:w="7780" w:type="dxa"/>
            <w:vAlign w:val="bottom"/>
          </w:tcPr>
          <w:p>
            <w:pPr>
              <w:ind w:left="20"/>
              <w:spacing w:after="0"/>
              <w:rPr>
                <w:sz w:val="20"/>
                <w:szCs w:val="20"/>
                <w:color w:val="auto"/>
              </w:rPr>
            </w:pPr>
            <w:r>
              <w:rPr>
                <w:rFonts w:ascii="Arial" w:cs="Arial" w:eastAsia="Arial" w:hAnsi="Arial"/>
                <w:sz w:val="18"/>
                <w:szCs w:val="18"/>
                <w:color w:val="auto"/>
              </w:rPr>
              <w:t>Allowance for credit losses</w:t>
            </w:r>
          </w:p>
        </w:tc>
        <w:tc>
          <w:tcPr>
            <w:tcW w:w="2080" w:type="dxa"/>
            <w:vAlign w:val="bottom"/>
          </w:tcPr>
          <w:p>
            <w:pPr>
              <w:jc w:val="right"/>
              <w:ind w:right="410"/>
              <w:spacing w:after="0"/>
              <w:rPr>
                <w:sz w:val="20"/>
                <w:szCs w:val="20"/>
                <w:color w:val="auto"/>
              </w:rPr>
            </w:pPr>
            <w:r>
              <w:rPr>
                <w:rFonts w:ascii="Arial" w:cs="Arial" w:eastAsia="Arial" w:hAnsi="Arial"/>
                <w:sz w:val="18"/>
                <w:szCs w:val="18"/>
                <w:color w:val="auto"/>
              </w:rPr>
              <w:t>1,112</w:t>
            </w:r>
          </w:p>
        </w:tc>
        <w:tc>
          <w:tcPr>
            <w:tcW w:w="1380" w:type="dxa"/>
            <w:vAlign w:val="bottom"/>
          </w:tcPr>
          <w:p>
            <w:pPr>
              <w:jc w:val="right"/>
              <w:spacing w:after="0"/>
              <w:rPr>
                <w:sz w:val="20"/>
                <w:szCs w:val="20"/>
                <w:color w:val="auto"/>
              </w:rPr>
            </w:pPr>
            <w:r>
              <w:rPr>
                <w:rFonts w:ascii="Arial" w:cs="Arial" w:eastAsia="Arial" w:hAnsi="Arial"/>
                <w:sz w:val="18"/>
                <w:szCs w:val="18"/>
                <w:color w:val="auto"/>
              </w:rPr>
              <w:t>1,655</w:t>
            </w:r>
          </w:p>
        </w:tc>
      </w:tr>
      <w:tr>
        <w:trPr>
          <w:trHeight w:val="261"/>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and postretirement benefits</w:t>
            </w:r>
          </w:p>
        </w:tc>
        <w:tc>
          <w:tcPr>
            <w:tcW w:w="20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2,454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r>
      <w:tr>
        <w:trPr>
          <w:trHeight w:val="252"/>
        </w:trPr>
        <w:tc>
          <w:tcPr>
            <w:tcW w:w="7780" w:type="dxa"/>
            <w:vAlign w:val="bottom"/>
          </w:tcPr>
          <w:p>
            <w:pPr>
              <w:ind w:left="20"/>
              <w:spacing w:after="0"/>
              <w:rPr>
                <w:sz w:val="20"/>
                <w:szCs w:val="20"/>
                <w:color w:val="auto"/>
              </w:rPr>
            </w:pPr>
            <w:r>
              <w:rPr>
                <w:rFonts w:ascii="Arial" w:cs="Arial" w:eastAsia="Arial" w:hAnsi="Arial"/>
                <w:sz w:val="18"/>
                <w:szCs w:val="18"/>
                <w:color w:val="auto"/>
              </w:rPr>
              <w:t>Interest deduction limitation</w:t>
            </w:r>
          </w:p>
        </w:tc>
        <w:tc>
          <w:tcPr>
            <w:tcW w:w="2080" w:type="dxa"/>
            <w:vAlign w:val="bottom"/>
          </w:tcPr>
          <w:p>
            <w:pPr>
              <w:jc w:val="right"/>
              <w:ind w:right="410"/>
              <w:spacing w:after="0"/>
              <w:rPr>
                <w:sz w:val="20"/>
                <w:szCs w:val="20"/>
                <w:color w:val="auto"/>
              </w:rPr>
            </w:pPr>
            <w:r>
              <w:rPr>
                <w:rFonts w:ascii="Arial" w:cs="Arial" w:eastAsia="Arial" w:hAnsi="Arial"/>
                <w:sz w:val="18"/>
                <w:szCs w:val="18"/>
                <w:color w:val="auto"/>
              </w:rPr>
              <w:t>16,097</w:t>
            </w:r>
          </w:p>
        </w:tc>
        <w:tc>
          <w:tcPr>
            <w:tcW w:w="1380" w:type="dxa"/>
            <w:vAlign w:val="bottom"/>
          </w:tcPr>
          <w:p>
            <w:pPr>
              <w:jc w:val="right"/>
              <w:spacing w:after="0"/>
              <w:rPr>
                <w:sz w:val="20"/>
                <w:szCs w:val="20"/>
                <w:color w:val="auto"/>
              </w:rPr>
            </w:pPr>
            <w:r>
              <w:rPr>
                <w:rFonts w:ascii="Arial" w:cs="Arial" w:eastAsia="Arial" w:hAnsi="Arial"/>
                <w:sz w:val="18"/>
                <w:szCs w:val="18"/>
                <w:color w:val="auto"/>
              </w:rPr>
              <w:t>9,828</w:t>
            </w:r>
          </w:p>
        </w:tc>
      </w:tr>
      <w:tr>
        <w:trPr>
          <w:trHeight w:val="261"/>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 carryforwards</w:t>
            </w:r>
          </w:p>
        </w:tc>
        <w:tc>
          <w:tcPr>
            <w:tcW w:w="20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25,267</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25,749</w:t>
            </w:r>
          </w:p>
        </w:tc>
      </w:tr>
      <w:tr>
        <w:trPr>
          <w:trHeight w:val="252"/>
        </w:trPr>
        <w:tc>
          <w:tcPr>
            <w:tcW w:w="7780" w:type="dxa"/>
            <w:vAlign w:val="bottom"/>
          </w:tcPr>
          <w:p>
            <w:pPr>
              <w:ind w:left="20"/>
              <w:spacing w:after="0"/>
              <w:rPr>
                <w:sz w:val="20"/>
                <w:szCs w:val="20"/>
                <w:color w:val="auto"/>
              </w:rPr>
            </w:pPr>
            <w:r>
              <w:rPr>
                <w:rFonts w:ascii="Arial" w:cs="Arial" w:eastAsia="Arial" w:hAnsi="Arial"/>
                <w:sz w:val="18"/>
                <w:szCs w:val="18"/>
                <w:color w:val="auto"/>
              </w:rPr>
              <w:t>ASC 842 - Leases DTA</w:t>
            </w:r>
          </w:p>
        </w:tc>
        <w:tc>
          <w:tcPr>
            <w:tcW w:w="2080" w:type="dxa"/>
            <w:vAlign w:val="bottom"/>
          </w:tcPr>
          <w:p>
            <w:pPr>
              <w:jc w:val="right"/>
              <w:ind w:right="410"/>
              <w:spacing w:after="0"/>
              <w:rPr>
                <w:sz w:val="20"/>
                <w:szCs w:val="20"/>
                <w:color w:val="auto"/>
              </w:rPr>
            </w:pPr>
            <w:r>
              <w:rPr>
                <w:rFonts w:ascii="Arial" w:cs="Arial" w:eastAsia="Arial" w:hAnsi="Arial"/>
                <w:sz w:val="18"/>
                <w:szCs w:val="18"/>
                <w:color w:val="auto"/>
              </w:rPr>
              <w:t>9,306</w:t>
            </w:r>
          </w:p>
        </w:tc>
        <w:tc>
          <w:tcPr>
            <w:tcW w:w="1380" w:type="dxa"/>
            <w:vAlign w:val="bottom"/>
          </w:tcPr>
          <w:p>
            <w:pPr>
              <w:jc w:val="right"/>
              <w:spacing w:after="0"/>
              <w:rPr>
                <w:sz w:val="20"/>
                <w:szCs w:val="20"/>
                <w:color w:val="auto"/>
              </w:rPr>
            </w:pPr>
            <w:r>
              <w:rPr>
                <w:rFonts w:ascii="Arial" w:cs="Arial" w:eastAsia="Arial" w:hAnsi="Arial"/>
                <w:sz w:val="18"/>
                <w:szCs w:val="18"/>
                <w:color w:val="auto"/>
              </w:rPr>
              <w:t>11,037</w:t>
            </w:r>
          </w:p>
        </w:tc>
      </w:tr>
      <w:tr>
        <w:trPr>
          <w:trHeight w:val="257"/>
        </w:trPr>
        <w:tc>
          <w:tcPr>
            <w:tcW w:w="7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8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6,211</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5,667</w:t>
            </w:r>
          </w:p>
        </w:tc>
      </w:tr>
      <w:tr>
        <w:trPr>
          <w:trHeight w:val="250"/>
        </w:trPr>
        <w:tc>
          <w:tcPr>
            <w:tcW w:w="778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60,447</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55,038</w:t>
            </w:r>
          </w:p>
        </w:tc>
      </w:tr>
      <w:tr>
        <w:trPr>
          <w:trHeight w:val="255"/>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20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(26,500)</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(25,765)</w:t>
            </w:r>
          </w:p>
        </w:tc>
      </w:tr>
      <w:tr>
        <w:trPr>
          <w:trHeight w:val="252"/>
        </w:trPr>
        <w:tc>
          <w:tcPr>
            <w:tcW w:w="7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deferred income tax liabilities</w:t>
            </w:r>
          </w:p>
        </w:tc>
        <w:tc>
          <w:tcPr>
            <w:tcW w:w="2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(28,403)</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(41,351)</w:t>
            </w:r>
          </w:p>
        </w:tc>
      </w:tr>
      <w:tr>
        <w:trPr>
          <w:trHeight w:val="25"/>
        </w:trPr>
        <w:tc>
          <w:tcPr>
            <w:tcW w:w="77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483"/>
        </w:trPr>
        <w:tc>
          <w:tcPr>
            <w:tcW w:w="7780" w:type="dxa"/>
            <w:vAlign w:val="bottom"/>
          </w:tcPr>
          <w:p>
            <w:pPr>
              <w:spacing w:after="0"/>
              <w:rPr>
                <w:sz w:val="20"/>
                <w:szCs w:val="20"/>
                <w:color w:val="auto"/>
              </w:rPr>
            </w:pPr>
            <w:r>
              <w:rPr>
                <w:rFonts w:ascii="Arial" w:cs="Arial" w:eastAsia="Arial" w:hAnsi="Arial"/>
                <w:sz w:val="18"/>
                <w:szCs w:val="18"/>
                <w:color w:val="auto"/>
              </w:rPr>
              <w:t>A reconciliation of 2024 and 2023 changes in gross unrecognized tax benefits is as follows:</w:t>
            </w:r>
          </w:p>
        </w:tc>
        <w:tc>
          <w:tcPr>
            <w:tcW w:w="20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98"/>
        </w:trPr>
        <w:tc>
          <w:tcPr>
            <w:tcW w:w="77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r>
      <w:tr>
        <w:trPr>
          <w:trHeight w:val="245"/>
        </w:trPr>
        <w:tc>
          <w:tcPr>
            <w:tcW w:w="77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2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2024</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255"/>
        </w:trPr>
        <w:tc>
          <w:tcPr>
            <w:tcW w:w="778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57"/>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year</w:t>
            </w:r>
          </w:p>
        </w:tc>
        <w:tc>
          <w:tcPr>
            <w:tcW w:w="20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14,914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18,242</w:t>
            </w:r>
          </w:p>
        </w:tc>
      </w:tr>
      <w:tr>
        <w:trPr>
          <w:trHeight w:val="252"/>
        </w:trPr>
        <w:tc>
          <w:tcPr>
            <w:tcW w:w="7780" w:type="dxa"/>
            <w:vAlign w:val="bottom"/>
          </w:tcPr>
          <w:p>
            <w:pPr>
              <w:ind w:left="20"/>
              <w:spacing w:after="0"/>
              <w:rPr>
                <w:sz w:val="20"/>
                <w:szCs w:val="20"/>
                <w:color w:val="auto"/>
              </w:rPr>
            </w:pPr>
            <w:r>
              <w:rPr>
                <w:rFonts w:ascii="Arial" w:cs="Arial" w:eastAsia="Arial" w:hAnsi="Arial"/>
                <w:sz w:val="18"/>
                <w:szCs w:val="18"/>
                <w:color w:val="auto"/>
              </w:rPr>
              <w:t>Changes in tax positions for prior years</w:t>
            </w:r>
          </w:p>
        </w:tc>
        <w:tc>
          <w:tcPr>
            <w:tcW w:w="2080" w:type="dxa"/>
            <w:vAlign w:val="bottom"/>
          </w:tcPr>
          <w:p>
            <w:pPr>
              <w:jc w:val="right"/>
              <w:ind w:right="190"/>
              <w:spacing w:after="0"/>
              <w:rPr>
                <w:sz w:val="20"/>
                <w:szCs w:val="20"/>
                <w:color w:val="auto"/>
              </w:rPr>
            </w:pPr>
            <w:r>
              <w:rPr>
                <w:rFonts w:ascii="Arial" w:cs="Arial" w:eastAsia="Arial" w:hAnsi="Arial"/>
                <w:sz w:val="18"/>
                <w:szCs w:val="18"/>
                <w:color w:val="auto"/>
              </w:rPr>
              <w:t>216</w:t>
            </w:r>
          </w:p>
        </w:tc>
        <w:tc>
          <w:tcPr>
            <w:tcW w:w="1380" w:type="dxa"/>
            <w:vAlign w:val="bottom"/>
          </w:tcPr>
          <w:p>
            <w:pPr>
              <w:jc w:val="right"/>
              <w:spacing w:after="0"/>
              <w:rPr>
                <w:sz w:val="20"/>
                <w:szCs w:val="20"/>
                <w:color w:val="auto"/>
              </w:rPr>
            </w:pPr>
            <w:r>
              <w:rPr>
                <w:rFonts w:ascii="Arial" w:cs="Arial" w:eastAsia="Arial" w:hAnsi="Arial"/>
                <w:sz w:val="18"/>
                <w:szCs w:val="18"/>
                <w:color w:val="auto"/>
              </w:rPr>
              <w:t>(687)</w:t>
            </w:r>
          </w:p>
        </w:tc>
      </w:tr>
      <w:tr>
        <w:trPr>
          <w:trHeight w:val="261"/>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Increases (decrease) in tax positions for the current year</w:t>
            </w:r>
          </w:p>
        </w:tc>
        <w:tc>
          <w:tcPr>
            <w:tcW w:w="20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837</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r>
      <w:tr>
        <w:trPr>
          <w:trHeight w:val="252"/>
        </w:trPr>
        <w:tc>
          <w:tcPr>
            <w:tcW w:w="7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Lapse in statute of limitations</w:t>
            </w:r>
          </w:p>
        </w:tc>
        <w:tc>
          <w:tcPr>
            <w:tcW w:w="2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(1,796)</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(2,294)</w:t>
            </w:r>
          </w:p>
        </w:tc>
      </w:tr>
      <w:tr>
        <w:trPr>
          <w:trHeight w:val="275"/>
        </w:trPr>
        <w:tc>
          <w:tcPr>
            <w:tcW w:w="7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end of year</w:t>
            </w:r>
          </w:p>
        </w:tc>
        <w:tc>
          <w:tcPr>
            <w:tcW w:w="20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14,171</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14,914</w:t>
            </w:r>
          </w:p>
        </w:tc>
      </w:tr>
      <w:tr>
        <w:trPr>
          <w:trHeight w:val="20"/>
        </w:trPr>
        <w:tc>
          <w:tcPr>
            <w:tcW w:w="778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Approximately $11.4 million and $10.7 million of the gross unrecognized tax benefit balances for 2024 and 2023, respectively, relate to state net operating losses which are netted against deferred taxes on our Consolidated Balance Sheet. The total amount of unrecognized tax benefits that, if recognized, would impact the effective tax rate was $2.2 million at September 29, 2024. The Company does not expect that unrecognized tax benefits will fluctuate significantly in the next twelve months. We recognize interest and penalties related to unrecognized tax benefits as a component of income tax expense. The amount of accrued interest related to unrecognized tax benefits was, net of tax, $0.5 million at September 29, 2024 and $1.2 million at September 24, 2023. There were no amounts provided for penalties at September 29, 2024 or September 24, 2023.</w:t>
      </w:r>
    </w:p>
    <w:p>
      <w:pPr>
        <w:spacing w:after="0" w:line="14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At September 29, 2024 and September 24, 2023, we had a deferred tax asset of $16.1 million and $9.8 million, respectively, related to disallowed interest expense.</w:t>
      </w:r>
    </w:p>
    <w:p>
      <w:pPr>
        <w:spacing w:after="0" w:line="12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valuation allowance increased from $25.8 million in 2023 to $26.5 million in 2024. During 2024, it was determined to be more likely than not that the Company would not be able to realize all of its disallowed interest expense carryforwards. Therefore, a valuation allowance was established on the amount of the deferred tax assets determined to not be realizable. The valuation allowance decreased by $0.9 million and $1.0 million in 2023 and 2022, respectively.</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is currently undergoing a New York Franchise Tax audit that includes fiscal year periods 2019 through 2021. Certain of the Company's state income tax returns for the year ended September 24, 2017 are open for examination. The Federal and remaining state returns are open beginning with the September 30, 2018 year.</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September 29, 2024, we have state tax benefits of approximately $43.3 million in net operating loss ("NOL") carryforwards. Of the NOL balance, $41.3 million expire between 2024 and 2044 and $2.0 million have an indefinite carryforward period. These NOL carryforwards result in a deferred income tax asset of $34.2 million at September 29, 2024, a portion of which is offset by a valuation allowance.</w:t>
      </w:r>
    </w:p>
    <w:p>
      <w:pPr>
        <w:spacing w:after="0" w:line="130"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methods and assumptions are used to estimate the fair value of each class of financial instruments for which it is practicable to estimate value.</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carrying amounts of cash equivalents, accounts receivable, and accounts payable approximate fair value because of the short maturity of those instruments. Certain other investments totaling $4.4 million, including our 16.7% ownership of the non-voting common stock and 0.7% of the voting common stock of TCT, which represents 8.7% of total TCT stock, are carried at cost. Certain other investments totaling $1.7 million, which include securities held in trust under a deferred compensation arrangement, are carried at fair value with gains and losses reported in earnings. These represent Level 2 fair value measurements.</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September 29, 2024, we had no floating rate debt. Our fixed rate debt consists of $445.9 million principal amount of the Term Note. At September 29, 2024 the fair value is $398.6 million, representing a Level 2 fair value measurement, which are fair values estimated using significant other observable inputs for similar instruments. The inputs used in this measurement include the 20 year treasury rate as the risk free interest rate and a US high yield index option-adjusted spread. There has been no changes in the valuation approach and technique from prior periods.</w:t>
      </w:r>
    </w:p>
    <w:p>
      <w:pPr>
        <w:spacing w:after="0" w:line="139"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LOSS PER COMMON SHARE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(losses) earnings per common share: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 and Shares, Except Per Common Share Data)</w:t>
            </w:r>
          </w:p>
        </w:tc>
        <w:tc>
          <w:tcPr>
            <w:tcW w:w="23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2024</w:t>
            </w:r>
          </w:p>
        </w:tc>
        <w:tc>
          <w:tcPr>
            <w:tcW w:w="15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2022</w:t>
            </w:r>
          </w:p>
        </w:tc>
      </w:tr>
      <w:tr>
        <w:trPr>
          <w:trHeight w:val="250"/>
        </w:trPr>
        <w:tc>
          <w:tcPr>
            <w:tcW w:w="618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r>
      <w:tr>
        <w:trPr>
          <w:trHeight w:val="223"/>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attributable to Lee Enterprises, Incorporated:</w:t>
            </w:r>
          </w:p>
        </w:tc>
        <w:tc>
          <w:tcPr>
            <w:tcW w:w="23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(25,845)</w:t>
            </w:r>
          </w:p>
        </w:tc>
        <w:tc>
          <w:tcPr>
            <w:tcW w:w="15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(5,267)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r>
      <w:tr>
        <w:trPr>
          <w:trHeight w:val="270"/>
        </w:trPr>
        <w:tc>
          <w:tcPr>
            <w:tcW w:w="6180" w:type="dxa"/>
            <w:vAlign w:val="bottom"/>
            <w:tcBorders>
              <w:bottom w:val="single" w:sz="8" w:color="auto"/>
            </w:tcBorders>
          </w:tcPr>
          <w:p>
            <w:pPr>
              <w:spacing w:after="0"/>
              <w:rPr>
                <w:sz w:val="23"/>
                <w:szCs w:val="23"/>
                <w:color w:val="auto"/>
              </w:rPr>
            </w:pPr>
          </w:p>
        </w:tc>
        <w:tc>
          <w:tcPr>
            <w:tcW w:w="238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r>
      <w:tr>
        <w:trPr>
          <w:trHeight w:val="223"/>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w:t>
            </w:r>
          </w:p>
        </w:tc>
        <w:tc>
          <w:tcPr>
            <w:tcW w:w="23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6,145</w:t>
            </w:r>
          </w:p>
        </w:tc>
        <w:tc>
          <w:tcPr>
            <w:tcW w:w="15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6,037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5,946</w:t>
            </w:r>
          </w:p>
        </w:tc>
      </w:tr>
      <w:tr>
        <w:trPr>
          <w:trHeight w:val="230"/>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non-vested restricted Common Shares</w:t>
            </w:r>
          </w:p>
        </w:tc>
        <w:tc>
          <w:tcPr>
            <w:tcW w:w="2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w:t>
            </w:r>
          </w:p>
        </w:tc>
        <w:tc>
          <w:tcPr>
            <w:tcW w:w="15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(170)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r>
      <w:tr>
        <w:trPr>
          <w:trHeight w:val="223"/>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 average Common Shares</w:t>
            </w:r>
          </w:p>
        </w:tc>
        <w:tc>
          <w:tcPr>
            <w:tcW w:w="23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5,944</w:t>
            </w:r>
          </w:p>
        </w:tc>
        <w:tc>
          <w:tcPr>
            <w:tcW w:w="15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5,867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5,779</w:t>
            </w:r>
          </w:p>
        </w:tc>
      </w:tr>
      <w:tr>
        <w:trPr>
          <w:trHeight w:val="230"/>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Dilutive stock options and restricted Common Shares</w:t>
            </w:r>
          </w:p>
        </w:tc>
        <w:tc>
          <w:tcPr>
            <w:tcW w:w="2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Shares</w:t>
            </w:r>
          </w:p>
        </w:tc>
        <w:tc>
          <w:tcPr>
            <w:tcW w:w="23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5,944</w:t>
            </w:r>
          </w:p>
        </w:tc>
        <w:tc>
          <w:tcPr>
            <w:tcW w:w="15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5,867</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5,779</w:t>
            </w:r>
          </w:p>
        </w:tc>
      </w:tr>
      <w:tr>
        <w:trPr>
          <w:trHeight w:val="20"/>
        </w:trPr>
        <w:tc>
          <w:tcPr>
            <w:tcW w:w="618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180" w:type="dxa"/>
            <w:vAlign w:val="bottom"/>
          </w:tcPr>
          <w:p>
            <w:pPr>
              <w:ind w:left="20"/>
              <w:spacing w:after="0" w:line="203" w:lineRule="exact"/>
              <w:rPr>
                <w:sz w:val="20"/>
                <w:szCs w:val="20"/>
                <w:color w:val="auto"/>
              </w:rPr>
            </w:pPr>
            <w:r>
              <w:rPr>
                <w:rFonts w:ascii="Arial" w:cs="Arial" w:eastAsia="Arial" w:hAnsi="Arial"/>
                <w:sz w:val="18"/>
                <w:szCs w:val="18"/>
                <w:color w:val="auto"/>
              </w:rPr>
              <w:t>Loss per common share:</w:t>
            </w:r>
          </w:p>
        </w:tc>
        <w:tc>
          <w:tcPr>
            <w:tcW w:w="23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9"/>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3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(4.35)</w:t>
            </w:r>
          </w:p>
        </w:tc>
        <w:tc>
          <w:tcPr>
            <w:tcW w:w="15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(0.90)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r>
      <w:tr>
        <w:trPr>
          <w:trHeight w:val="230"/>
        </w:trPr>
        <w:tc>
          <w:tcPr>
            <w:tcW w:w="61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Diluted</w:t>
            </w:r>
          </w:p>
        </w:tc>
        <w:tc>
          <w:tcPr>
            <w:tcW w:w="2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(4.35)</w:t>
            </w:r>
          </w:p>
        </w:tc>
        <w:tc>
          <w:tcPr>
            <w:tcW w:w="15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(0.90)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r>
      <w:tr>
        <w:trPr>
          <w:trHeight w:val="20"/>
        </w:trPr>
        <w:tc>
          <w:tcPr>
            <w:tcW w:w="618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2024, 2023, and 2022 we had 192,737, 48,955, and 74,304 weighted average shares, respectively, not considered in the computation of diluted earnings per share because the Company recorded net losses.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ALLOWANCE FOR CREDIT LOSSES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Valuation and qualifying account information related to the allowance for credit losses related to continuing operations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2024</w:t>
            </w:r>
          </w:p>
        </w:tc>
        <w:tc>
          <w:tcPr>
            <w:tcW w:w="1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2023</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r>
      <w:tr>
        <w:trPr>
          <w:trHeight w:val="255"/>
        </w:trPr>
        <w:tc>
          <w:tcPr>
            <w:tcW w:w="66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5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year</w:t>
            </w:r>
          </w:p>
        </w:tc>
        <w:tc>
          <w:tcPr>
            <w:tcW w:w="15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5,260</w:t>
            </w:r>
          </w:p>
        </w:tc>
        <w:tc>
          <w:tcPr>
            <w:tcW w:w="16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5,237</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6,574</w:t>
            </w:r>
          </w:p>
        </w:tc>
      </w:tr>
      <w:tr>
        <w:trPr>
          <w:trHeight w:val="252"/>
        </w:trPr>
        <w:tc>
          <w:tcPr>
            <w:tcW w:w="6660" w:type="dxa"/>
            <w:vAlign w:val="bottom"/>
          </w:tcPr>
          <w:p>
            <w:pPr>
              <w:ind w:left="20"/>
              <w:spacing w:after="0"/>
              <w:rPr>
                <w:sz w:val="20"/>
                <w:szCs w:val="20"/>
                <w:color w:val="auto"/>
              </w:rPr>
            </w:pPr>
            <w:r>
              <w:rPr>
                <w:rFonts w:ascii="Arial" w:cs="Arial" w:eastAsia="Arial" w:hAnsi="Arial"/>
                <w:sz w:val="18"/>
                <w:szCs w:val="18"/>
                <w:color w:val="auto"/>
              </w:rPr>
              <w:t>Additions charged to expense</w:t>
            </w: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13,633</w:t>
            </w:r>
          </w:p>
        </w:tc>
        <w:tc>
          <w:tcPr>
            <w:tcW w:w="1680" w:type="dxa"/>
            <w:vAlign w:val="bottom"/>
          </w:tcPr>
          <w:p>
            <w:pPr>
              <w:jc w:val="right"/>
              <w:ind w:right="190"/>
              <w:spacing w:after="0"/>
              <w:rPr>
                <w:sz w:val="20"/>
                <w:szCs w:val="20"/>
                <w:color w:val="auto"/>
              </w:rPr>
            </w:pPr>
            <w:r>
              <w:rPr>
                <w:rFonts w:ascii="Arial" w:cs="Arial" w:eastAsia="Arial" w:hAnsi="Arial"/>
                <w:sz w:val="18"/>
                <w:szCs w:val="18"/>
                <w:color w:val="auto"/>
              </w:rPr>
              <w:t>6,942</w:t>
            </w:r>
          </w:p>
        </w:tc>
        <w:tc>
          <w:tcPr>
            <w:tcW w:w="1380" w:type="dxa"/>
            <w:vAlign w:val="bottom"/>
          </w:tcPr>
          <w:p>
            <w:pPr>
              <w:jc w:val="right"/>
              <w:spacing w:after="0"/>
              <w:rPr>
                <w:sz w:val="20"/>
                <w:szCs w:val="20"/>
                <w:color w:val="auto"/>
              </w:rPr>
            </w:pPr>
            <w:r>
              <w:rPr>
                <w:rFonts w:ascii="Arial" w:cs="Arial" w:eastAsia="Arial" w:hAnsi="Arial"/>
                <w:sz w:val="18"/>
                <w:szCs w:val="18"/>
                <w:color w:val="auto"/>
              </w:rPr>
              <w:t>5,190</w:t>
            </w:r>
          </w:p>
        </w:tc>
      </w:tr>
      <w:tr>
        <w:trPr>
          <w:trHeight w:val="257"/>
        </w:trPr>
        <w:tc>
          <w:tcPr>
            <w:tcW w:w="6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Deductions from reserves</w:t>
            </w: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(12,379)</w:t>
            </w:r>
          </w:p>
        </w:tc>
        <w:tc>
          <w:tcPr>
            <w:tcW w:w="16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(6,919)</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(6,527)</w:t>
            </w:r>
          </w:p>
        </w:tc>
      </w:tr>
      <w:tr>
        <w:trPr>
          <w:trHeight w:val="250"/>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end of year</w:t>
            </w:r>
          </w:p>
        </w:tc>
        <w:tc>
          <w:tcPr>
            <w:tcW w:w="15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6,514</w:t>
            </w:r>
          </w:p>
        </w:tc>
        <w:tc>
          <w:tcPr>
            <w:tcW w:w="1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5,260</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5,237</w:t>
            </w:r>
          </w:p>
        </w:tc>
      </w:tr>
      <w:tr>
        <w:trPr>
          <w:trHeight w:val="25"/>
        </w:trPr>
        <w:tc>
          <w:tcPr>
            <w:tcW w:w="66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491"/>
        </w:trPr>
        <w:tc>
          <w:tcPr>
            <w:tcW w:w="6660" w:type="dxa"/>
            <w:vAlign w:val="bottom"/>
          </w:tcPr>
          <w:p>
            <w:pPr>
              <w:spacing w:after="0"/>
              <w:rPr>
                <w:sz w:val="20"/>
                <w:szCs w:val="20"/>
                <w:color w:val="auto"/>
              </w:rPr>
            </w:pPr>
            <w:r>
              <w:rPr>
                <w:rFonts w:ascii="Arial" w:cs="Arial" w:eastAsia="Arial" w:hAnsi="Arial"/>
                <w:sz w:val="18"/>
                <w:szCs w:val="18"/>
                <w:b w:val="1"/>
                <w:bCs w:val="1"/>
                <w:color w:val="auto"/>
              </w:rPr>
              <w:t>16.  OTHER INFORMATION</w:t>
            </w:r>
          </w:p>
        </w:tc>
        <w:tc>
          <w:tcPr>
            <w:tcW w:w="15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84"/>
        </w:trPr>
        <w:tc>
          <w:tcPr>
            <w:tcW w:w="6660" w:type="dxa"/>
            <w:vAlign w:val="bottom"/>
          </w:tcPr>
          <w:p>
            <w:pPr>
              <w:spacing w:after="0"/>
              <w:rPr>
                <w:sz w:val="20"/>
                <w:szCs w:val="20"/>
                <w:color w:val="auto"/>
              </w:rPr>
            </w:pPr>
            <w:r>
              <w:rPr>
                <w:rFonts w:ascii="Arial" w:cs="Arial" w:eastAsia="Arial" w:hAnsi="Arial"/>
                <w:sz w:val="18"/>
                <w:szCs w:val="18"/>
                <w:color w:val="auto"/>
              </w:rPr>
              <w:t>Compensation and other accrued liabilities consist of the following:</w:t>
            </w:r>
          </w:p>
        </w:tc>
        <w:tc>
          <w:tcPr>
            <w:tcW w:w="15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12"/>
        </w:trPr>
        <w:tc>
          <w:tcPr>
            <w:tcW w:w="66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r>
      <w:tr>
        <w:trPr>
          <w:trHeight w:val="204"/>
        </w:trPr>
        <w:tc>
          <w:tcPr>
            <w:tcW w:w="66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80" w:type="dxa"/>
            <w:vAlign w:val="bottom"/>
          </w:tcPr>
          <w:p>
            <w:pPr>
              <w:jc w:val="right"/>
              <w:ind w:right="350"/>
              <w:spacing w:after="0" w:line="204" w:lineRule="exact"/>
              <w:rPr>
                <w:sz w:val="20"/>
                <w:szCs w:val="20"/>
                <w:color w:val="auto"/>
              </w:rPr>
            </w:pPr>
            <w:r>
              <w:rPr>
                <w:rFonts w:ascii="Arial" w:cs="Arial" w:eastAsia="Arial" w:hAnsi="Arial"/>
                <w:sz w:val="18"/>
                <w:szCs w:val="18"/>
                <w:color w:val="auto"/>
              </w:rPr>
              <w:t>September 29</w:t>
            </w:r>
          </w:p>
        </w:tc>
        <w:tc>
          <w:tcPr>
            <w:tcW w:w="1380" w:type="dxa"/>
            <w:vAlign w:val="bottom"/>
          </w:tcPr>
          <w:p>
            <w:pPr>
              <w:jc w:val="right"/>
              <w:spacing w:after="0" w:line="204" w:lineRule="exact"/>
              <w:rPr>
                <w:sz w:val="20"/>
                <w:szCs w:val="20"/>
                <w:color w:val="auto"/>
              </w:rPr>
            </w:pPr>
            <w:r>
              <w:rPr>
                <w:rFonts w:ascii="Arial" w:cs="Arial" w:eastAsia="Arial" w:hAnsi="Arial"/>
                <w:sz w:val="18"/>
                <w:szCs w:val="18"/>
                <w:color w:val="auto"/>
              </w:rPr>
              <w:t>September 24</w:t>
            </w:r>
          </w:p>
        </w:tc>
      </w:tr>
      <w:tr>
        <w:trPr>
          <w:trHeight w:val="244"/>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15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2024</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255"/>
        </w:trPr>
        <w:tc>
          <w:tcPr>
            <w:tcW w:w="66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57"/>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w:t>
            </w:r>
          </w:p>
        </w:tc>
        <w:tc>
          <w:tcPr>
            <w:tcW w:w="152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8,819</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9,114</w:t>
            </w:r>
          </w:p>
        </w:tc>
      </w:tr>
      <w:tr>
        <w:trPr>
          <w:trHeight w:val="252"/>
        </w:trPr>
        <w:tc>
          <w:tcPr>
            <w:tcW w:w="6660" w:type="dxa"/>
            <w:vAlign w:val="bottom"/>
          </w:tcPr>
          <w:p>
            <w:pPr>
              <w:ind w:left="20"/>
              <w:spacing w:after="0"/>
              <w:rPr>
                <w:sz w:val="20"/>
                <w:szCs w:val="20"/>
                <w:color w:val="auto"/>
              </w:rPr>
            </w:pPr>
            <w:r>
              <w:rPr>
                <w:rFonts w:ascii="Arial" w:cs="Arial" w:eastAsia="Arial" w:hAnsi="Arial"/>
                <w:sz w:val="18"/>
                <w:szCs w:val="18"/>
                <w:color w:val="auto"/>
              </w:rPr>
              <w:t>Retirement plans</w:t>
            </w:r>
          </w:p>
        </w:tc>
        <w:tc>
          <w:tcPr>
            <w:tcW w:w="1520" w:type="dxa"/>
            <w:vAlign w:val="bottom"/>
          </w:tcPr>
          <w:p>
            <w:pPr>
              <w:spacing w:after="0"/>
              <w:rPr>
                <w:sz w:val="21"/>
                <w:szCs w:val="21"/>
                <w:color w:val="auto"/>
              </w:rPr>
            </w:pPr>
          </w:p>
        </w:tc>
        <w:tc>
          <w:tcPr>
            <w:tcW w:w="1680" w:type="dxa"/>
            <w:vAlign w:val="bottom"/>
          </w:tcPr>
          <w:p>
            <w:pPr>
              <w:jc w:val="right"/>
              <w:ind w:right="410"/>
              <w:spacing w:after="0"/>
              <w:rPr>
                <w:sz w:val="20"/>
                <w:szCs w:val="20"/>
                <w:color w:val="auto"/>
              </w:rPr>
            </w:pPr>
            <w:r>
              <w:rPr>
                <w:rFonts w:ascii="Arial" w:cs="Arial" w:eastAsia="Arial" w:hAnsi="Arial"/>
                <w:sz w:val="18"/>
                <w:szCs w:val="18"/>
                <w:color w:val="auto"/>
              </w:rPr>
              <w:t>272</w:t>
            </w:r>
          </w:p>
        </w:tc>
        <w:tc>
          <w:tcPr>
            <w:tcW w:w="1380" w:type="dxa"/>
            <w:vAlign w:val="bottom"/>
          </w:tcPr>
          <w:p>
            <w:pPr>
              <w:jc w:val="right"/>
              <w:spacing w:after="0"/>
              <w:rPr>
                <w:sz w:val="20"/>
                <w:szCs w:val="20"/>
                <w:color w:val="auto"/>
              </w:rPr>
            </w:pPr>
            <w:r>
              <w:rPr>
                <w:rFonts w:ascii="Arial" w:cs="Arial" w:eastAsia="Arial" w:hAnsi="Arial"/>
                <w:sz w:val="18"/>
                <w:szCs w:val="18"/>
                <w:color w:val="auto"/>
              </w:rPr>
              <w:t>327</w:t>
            </w:r>
          </w:p>
        </w:tc>
      </w:tr>
      <w:tr>
        <w:trPr>
          <w:trHeight w:val="257"/>
        </w:trPr>
        <w:tc>
          <w:tcPr>
            <w:tcW w:w="6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52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30,079</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20,007</w:t>
            </w:r>
          </w:p>
        </w:tc>
      </w:tr>
      <w:tr>
        <w:trPr>
          <w:trHeight w:val="250"/>
        </w:trPr>
        <w:tc>
          <w:tcPr>
            <w:tcW w:w="66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39,170</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29,448</w:t>
            </w:r>
          </w:p>
        </w:tc>
      </w:tr>
      <w:tr>
        <w:trPr>
          <w:trHeight w:val="25"/>
        </w:trPr>
        <w:tc>
          <w:tcPr>
            <w:tcW w:w="66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483"/>
        </w:trPr>
        <w:tc>
          <w:tcPr>
            <w:tcW w:w="6660" w:type="dxa"/>
            <w:vAlign w:val="bottom"/>
          </w:tcPr>
          <w:p>
            <w:pPr>
              <w:spacing w:after="0"/>
              <w:rPr>
                <w:sz w:val="20"/>
                <w:szCs w:val="20"/>
                <w:color w:val="auto"/>
              </w:rPr>
            </w:pPr>
            <w:r>
              <w:rPr>
                <w:rFonts w:ascii="Arial" w:cs="Arial" w:eastAsia="Arial" w:hAnsi="Arial"/>
                <w:sz w:val="18"/>
                <w:szCs w:val="18"/>
                <w:color w:val="auto"/>
              </w:rPr>
              <w:t>Supplemental cash flow information includes the following cash payments:</w:t>
            </w:r>
          </w:p>
        </w:tc>
        <w:tc>
          <w:tcPr>
            <w:tcW w:w="15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98"/>
        </w:trPr>
        <w:tc>
          <w:tcPr>
            <w:tcW w:w="66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r>
      <w:tr>
        <w:trPr>
          <w:trHeight w:val="245"/>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2024</w:t>
            </w:r>
          </w:p>
        </w:tc>
        <w:tc>
          <w:tcPr>
            <w:tcW w:w="1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2023</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r>
      <w:tr>
        <w:trPr>
          <w:trHeight w:val="255"/>
        </w:trPr>
        <w:tc>
          <w:tcPr>
            <w:tcW w:w="66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57"/>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w:t>
            </w:r>
          </w:p>
        </w:tc>
        <w:tc>
          <w:tcPr>
            <w:tcW w:w="15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41,232</w:t>
            </w:r>
          </w:p>
        </w:tc>
        <w:tc>
          <w:tcPr>
            <w:tcW w:w="16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41,471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41,770</w:t>
            </w:r>
          </w:p>
        </w:tc>
      </w:tr>
      <w:tr>
        <w:trPr>
          <w:trHeight w:val="252"/>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payments, net</w:t>
            </w:r>
          </w:p>
        </w:tc>
        <w:tc>
          <w:tcPr>
            <w:tcW w:w="15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7,374</w:t>
            </w:r>
          </w:p>
        </w:tc>
        <w:tc>
          <w:tcPr>
            <w:tcW w:w="1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3,722</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5,311</w:t>
            </w: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Accumulated other comprehensive income (loss), net of deferred income taxes at September 29, 2024, and September 24, 2023, is related to pension and postretirement benefits.</w:t>
      </w:r>
    </w:p>
    <w:p>
      <w:pPr>
        <w:spacing w:after="0" w:line="112" w:lineRule="exact"/>
        <w:rPr>
          <w:sz w:val="20"/>
          <w:szCs w:val="20"/>
          <w:color w:val="auto"/>
        </w:rPr>
      </w:pPr>
    </w:p>
    <w:p>
      <w:pPr>
        <w:ind w:right="6660" w:firstLine="8"/>
        <w:spacing w:after="0" w:line="461" w:lineRule="auto"/>
        <w:tabs>
          <w:tab w:leader="none" w:pos="45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CONTINGENT LIABILITIES Capital Expenditures</w:t>
      </w:r>
    </w:p>
    <w:p>
      <w:pPr>
        <w:spacing w:after="0" w:line="1" w:lineRule="exact"/>
        <w:rPr>
          <w:sz w:val="20"/>
          <w:szCs w:val="20"/>
          <w:color w:val="auto"/>
        </w:rPr>
      </w:pPr>
    </w:p>
    <w:p>
      <w:pPr>
        <w:ind w:right="1720"/>
        <w:spacing w:after="0" w:line="461" w:lineRule="auto"/>
        <w:rPr>
          <w:sz w:val="20"/>
          <w:szCs w:val="20"/>
          <w:color w:val="auto"/>
        </w:rPr>
      </w:pPr>
      <w:r>
        <w:rPr>
          <w:rFonts w:ascii="Arial" w:cs="Arial" w:eastAsia="Arial" w:hAnsi="Arial"/>
          <w:sz w:val="18"/>
          <w:szCs w:val="18"/>
          <w:color w:val="auto"/>
        </w:rPr>
        <w:t xml:space="preserve">At September 29, 2024, we had construction and equipment purchase commitments totaling approximately $6.4 million. </w:t>
      </w:r>
      <w:r>
        <w:rPr>
          <w:rFonts w:ascii="Arial" w:cs="Arial" w:eastAsia="Arial" w:hAnsi="Arial"/>
          <w:sz w:val="18"/>
          <w:szCs w:val="18"/>
          <w:b w:val="1"/>
          <w:bCs w:val="1"/>
          <w:color w:val="auto"/>
        </w:rPr>
        <w:t>Income Taxes</w:t>
      </w:r>
    </w:p>
    <w:p>
      <w:pPr>
        <w:spacing w:after="0" w:line="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Commitments exclude unrecognized tax benefits to be recorded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We are unable to reasonably estimate the ultimate amount or timing of cash settlements with the respective taxing authorities for such matters. See Note 12.</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file income tax returns with the Internal Revenue Service and various state tax jurisdictions. From time to time, we are subject to routine audits by those agencies, and those audits may result in proposed adjustments. We have considered the alternative interpretations that may be assumed by the various taxing agencies, believe our positions taken regarding our filings are valid, and that adequate tax liabilities have been recorded to resolve such matters. However, the actual outcome cannot be determined with certainty and the difference could be material, either positively or negatively, to the Consolidated Statements of (Loss) Income and Comprehensive Income (Loss) in the periods in which such matters are ultimately determined. We do not believe the final resolution of such matters will be material to our consolidated financial position or cash flows.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have various income tax examinations ongoing and at various stages of completion, but generally our income tax returns have been audited or closed to audit through 2014.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involved in a variety of legal actions that arise in the normal course of business. Insurance coverage mitigates potential loss for certain of these matters. While we are unable to predict the ultimate outcome of these legal actions except for one case, which amounts are recognized in "Prepaids and Other" and "Compensation and other accrued liabilities" on the Consolidated Balance Sheets), it is our opinion that the disposition of these matters will not have a material adverse effect on our Consolidated Financial Statements, taken as a whole.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named as a defendant by a group of Plaintiffs acting on behalf of a proposed class of digital subscribers in a lawsuit in</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2022. The lawsuit alleged that the Company violated the Video Privacy Protection Act (“VPPA”) by using pixels to track subscribers’ video viewing activity on Company websites and sharing it with Meta without consent.</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has agreed to a preliminary settlement with the Plaintiffs for $9.5 million, subject to required court approval. The entire settlement amount will be paid by the Company’s insurance carriers.</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settlement liability and insurance receivable are recorded within “Compensation and other accrued liabilities” and “Prepaids and other” on the Consolidated Balance Sheets as of September 29, 2024, respectively.</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Stockholders and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Lee Enterprises, Incorporated</w:t>
      </w:r>
    </w:p>
    <w:p>
      <w:pPr>
        <w:spacing w:after="0"/>
        <w:rPr>
          <w:sz w:val="20"/>
          <w:szCs w:val="20"/>
          <w:color w:val="auto"/>
        </w:rPr>
      </w:pPr>
      <w:r>
        <w:rPr>
          <w:rFonts w:ascii="Arial" w:cs="Arial" w:eastAsia="Arial" w:hAnsi="Arial"/>
          <w:sz w:val="18"/>
          <w:szCs w:val="18"/>
          <w:color w:val="auto"/>
        </w:rPr>
        <w:t>Davenport, Iowa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audited the accompanying consolidated balance sheets of Lee Enterprises, Incorporated (the “Company”) as of September 29, 2024 and September 24, 2023, the related consolidated statements of (loss) income and comprehensive (loss) income, (deficit) equity, and cash flows for each of the three fiscal years in the period ended September 29, 2024, and the related notes (collectively referred to as the “consolidated financial statements”). In our opinion, the consolidated financial statements present fairly, in all material respects, the financial position of the Company at September 29, 2024 and September 24, 2023, and the results of its operations and its cash flows for each of the three fiscal years in the period ended September 29, 2024</w:t>
      </w:r>
      <w:r>
        <w:rPr>
          <w:rFonts w:ascii="Arial" w:cs="Arial" w:eastAsia="Arial" w:hAnsi="Arial"/>
          <w:sz w:val="18"/>
          <w:szCs w:val="18"/>
          <w:b w:val="1"/>
          <w:bCs w:val="1"/>
          <w:color w:val="auto"/>
        </w:rPr>
        <w:t>,</w:t>
      </w:r>
      <w:r>
        <w:rPr>
          <w:rFonts w:ascii="Arial" w:cs="Arial" w:eastAsia="Arial" w:hAnsi="Arial"/>
          <w:sz w:val="18"/>
          <w:szCs w:val="18"/>
          <w:color w:val="auto"/>
        </w:rPr>
        <w:t xml:space="preserve"> in conformity with accounting principles generally accepted in the United States of America.</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September 29, 2024,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(“COSO”) and our report dated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13, 2024 expressed an unqualified opinion thereon.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9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w:t>
      </w:r>
    </w:p>
    <w:p>
      <w:pPr>
        <w:spacing w:after="0" w:line="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3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(1) related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indefinite-lived mastheads</w:t>
      </w:r>
    </w:p>
    <w:p>
      <w:pPr>
        <w:spacing w:after="0" w:line="23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described in Notes 1 and 4 to the consolidated financial statements, the Company’s non-amortized intangible assets in mastheads are $10.9 million as of September 29, 2024. The Company reviews the indefinite-lived mastheads for impairment on an annual basis or more frequently if events or changes in circumstances indicate the assets might be impaired. The impairment test consists of comparing the fair value of each masthead with its carrying amount. The Company determines fair value using the relief from royalty method, which utilizes a discounted cash flow model to determine the fair value of each masthead. The significant assumptions used in the determination of the fair</w:t>
      </w:r>
    </w:p>
    <w:p>
      <w:pPr>
        <w:spacing w:after="0" w:line="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value of indefinite-lived mastheads are the discount rate (weighted-average cost of capital) and royalty rates. During the year ended September 29, 2024, the Company recognized impairments of $7.8 million on these indefinite-lived mastheads.</w:t>
      </w:r>
    </w:p>
    <w:p>
      <w:pPr>
        <w:spacing w:after="0" w:line="20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identified the determination of the fair values of the indefinite-lived mastheads as a critical audit matter because of the significant estimates and assumptions the Company makes to calculate their fair value, specifically the discount rate and royalty rates. Auditing the significant assumptions involved a high degree of subjective auditor judgment due to their significant estimation uncertainty, including the extent of specialized skills and knowledge needed.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primary procedures we performed to address this critical audit matter:</w:t>
      </w:r>
    </w:p>
    <w:p>
      <w:pPr>
        <w:spacing w:after="0" w:line="239"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Utilizing personnel with specialized skills and knowledge in valuation, who assisted in:</w:t>
      </w:r>
    </w:p>
    <w:p>
      <w:pPr>
        <w:spacing w:after="0" w:line="238" w:lineRule="exact"/>
        <w:rPr>
          <w:rFonts w:ascii="Arial" w:cs="Arial" w:eastAsia="Arial" w:hAnsi="Arial"/>
          <w:sz w:val="18"/>
          <w:szCs w:val="18"/>
          <w:color w:val="auto"/>
        </w:rPr>
      </w:pPr>
    </w:p>
    <w:p>
      <w:pPr>
        <w:ind w:left="1300" w:hanging="320"/>
        <w:spacing w:after="0" w:line="271" w:lineRule="auto"/>
        <w:tabs>
          <w:tab w:leader="none" w:pos="1296"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Evaluating the discount rate by developing an independent expectation range using independently obtained market data of guideline public companies and comparing to the rate used by the Company; and</w:t>
      </w:r>
    </w:p>
    <w:p>
      <w:pPr>
        <w:spacing w:after="0" w:line="180" w:lineRule="exact"/>
        <w:rPr>
          <w:rFonts w:ascii="Arial" w:cs="Arial" w:eastAsia="Arial" w:hAnsi="Arial"/>
          <w:sz w:val="18"/>
          <w:szCs w:val="18"/>
          <w:color w:val="auto"/>
        </w:rPr>
      </w:pPr>
    </w:p>
    <w:p>
      <w:pPr>
        <w:ind w:left="1300" w:right="100" w:hanging="320"/>
        <w:spacing w:after="0" w:line="271" w:lineRule="auto"/>
        <w:tabs>
          <w:tab w:leader="none" w:pos="1296"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Evaluating the royalty rates by (i) evaluating management’s profit-split analysis and (ii) comparing them to a range based on publicly available royalty rates.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BDO USA,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December 13, 2024</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Exhibits marked with an asterisk (*) are incorporated by reference to documents previously filed by us with the SEC, as indicated. Exhibits marked with a plus (+) are management contracts or compensatory plan contracts or arrangements filed pursuant to Item 601(b)(10)(iii)(A) of Regulation S-K. All other documents listed are filed with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19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720" w:type="dxa"/>
            <w:vAlign w:val="bottom"/>
            <w:tcBorders>
              <w:bottom w:val="single" w:sz="8" w:color="auto"/>
            </w:tcBorders>
            <w:gridSpan w:val="19"/>
          </w:tcPr>
          <w:p>
            <w:pPr>
              <w:ind w:left="1180"/>
              <w:spacing w:after="0"/>
              <w:rPr>
                <w:sz w:val="20"/>
                <w:szCs w:val="20"/>
                <w:color w:val="auto"/>
              </w:rPr>
            </w:pPr>
            <w:r>
              <w:rPr>
                <w:rFonts w:ascii="Arial" w:cs="Arial" w:eastAsia="Arial" w:hAnsi="Arial"/>
                <w:sz w:val="18"/>
                <w:szCs w:val="18"/>
                <w:color w:val="auto"/>
              </w:rPr>
              <w:t>Description</w:t>
            </w:r>
          </w:p>
        </w:tc>
      </w:tr>
      <w:tr>
        <w:trPr>
          <w:trHeight w:val="457"/>
        </w:trPr>
        <w:tc>
          <w:tcPr>
            <w:tcW w:w="1260" w:type="dxa"/>
            <w:vAlign w:val="bottom"/>
          </w:tcPr>
          <w:p>
            <w:pPr>
              <w:ind w:left="20"/>
              <w:spacing w:after="0"/>
              <w:rPr>
                <w:sz w:val="20"/>
                <w:szCs w:val="20"/>
                <w:color w:val="auto"/>
              </w:rPr>
            </w:pPr>
            <w:r>
              <w:rPr>
                <w:rFonts w:ascii="Arial" w:cs="Arial" w:eastAsia="Arial" w:hAnsi="Arial"/>
                <w:sz w:val="18"/>
                <w:szCs w:val="18"/>
                <w:color w:val="auto"/>
              </w:rPr>
              <w:t>3.1 *</w:t>
            </w:r>
          </w:p>
        </w:tc>
        <w:tc>
          <w:tcPr>
            <w:tcW w:w="10080" w:type="dxa"/>
            <w:vAlign w:val="bottom"/>
            <w:gridSpan w:val="24"/>
          </w:tcPr>
          <w:p>
            <w:pPr>
              <w:spacing w:after="0"/>
              <w:rPr>
                <w:rFonts w:ascii="Arial" w:cs="Arial" w:eastAsia="Arial" w:hAnsi="Arial"/>
                <w:sz w:val="18"/>
                <w:szCs w:val="18"/>
                <w:color w:val="0000EE"/>
              </w:rPr>
            </w:pPr>
            <w:hyperlink r:id="rId109">
              <w:r>
                <w:rPr>
                  <w:rFonts w:ascii="Arial" w:cs="Arial" w:eastAsia="Arial" w:hAnsi="Arial"/>
                  <w:sz w:val="18"/>
                  <w:szCs w:val="18"/>
                  <w:color w:val="0000EE"/>
                </w:rPr>
                <w:t>Amended and Restated Certificate of Incorporation of Lee Enterprises, Incorporated effective as of January 30, 2012 (Exhibit</w:t>
              </w:r>
            </w:hyperlink>
          </w:p>
        </w:tc>
      </w:tr>
      <w:tr>
        <w:trPr>
          <w:trHeight w:val="183"/>
        </w:trPr>
        <w:tc>
          <w:tcPr>
            <w:tcW w:w="1260" w:type="dxa"/>
            <w:vAlign w:val="bottom"/>
          </w:tcPr>
          <w:p>
            <w:pPr>
              <w:spacing w:after="0"/>
              <w:rPr>
                <w:sz w:val="15"/>
                <w:szCs w:val="15"/>
                <w:color w:val="auto"/>
              </w:rPr>
            </w:pPr>
          </w:p>
        </w:tc>
        <w:tc>
          <w:tcPr>
            <w:tcW w:w="1002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r:id="rId109">
              <w:r>
                <w:rPr>
                  <w:rFonts w:ascii="Arial" w:cs="Arial" w:eastAsia="Arial" w:hAnsi="Arial"/>
                  <w:sz w:val="18"/>
                  <w:szCs w:val="18"/>
                  <w:color w:val="0000EE"/>
                </w:rPr>
                <w:t>3.</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Form 8-K filed on February 3, 2012)</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60" w:type="dxa"/>
            <w:vAlign w:val="bottom"/>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60" w:type="dxa"/>
            <w:vAlign w:val="bottom"/>
          </w:tcPr>
          <w:p>
            <w:pPr>
              <w:ind w:left="20"/>
              <w:spacing w:after="0"/>
              <w:rPr>
                <w:sz w:val="20"/>
                <w:szCs w:val="20"/>
                <w:color w:val="auto"/>
              </w:rPr>
            </w:pPr>
            <w:r>
              <w:rPr>
                <w:rFonts w:ascii="Arial" w:cs="Arial" w:eastAsia="Arial" w:hAnsi="Arial"/>
                <w:sz w:val="18"/>
                <w:szCs w:val="18"/>
                <w:color w:val="auto"/>
              </w:rPr>
              <w:t>3.2 *</w:t>
            </w:r>
          </w:p>
        </w:tc>
        <w:tc>
          <w:tcPr>
            <w:tcW w:w="10080" w:type="dxa"/>
            <w:vAlign w:val="bottom"/>
            <w:gridSpan w:val="24"/>
          </w:tcPr>
          <w:p>
            <w:pPr>
              <w:spacing w:after="0"/>
              <w:rPr>
                <w:rFonts w:ascii="Arial" w:cs="Arial" w:eastAsia="Arial" w:hAnsi="Arial"/>
                <w:sz w:val="18"/>
                <w:szCs w:val="18"/>
                <w:color w:val="0000EE"/>
              </w:rPr>
            </w:pPr>
            <w:hyperlink r:id="rId110">
              <w:r>
                <w:rPr>
                  <w:rFonts w:ascii="Arial" w:cs="Arial" w:eastAsia="Arial" w:hAnsi="Arial"/>
                  <w:sz w:val="18"/>
                  <w:szCs w:val="18"/>
                  <w:color w:val="0000EE"/>
                </w:rPr>
                <w:t>Second Amended and Restated By-Laws of Lee Enterprises, Incorporated effective as of June 26, 2019 (Exhibit 3.1 to Form</w:t>
              </w:r>
            </w:hyperlink>
          </w:p>
        </w:tc>
      </w:tr>
      <w:tr>
        <w:trPr>
          <w:trHeight w:val="183"/>
        </w:trPr>
        <w:tc>
          <w:tcPr>
            <w:tcW w:w="1260" w:type="dxa"/>
            <w:vAlign w:val="bottom"/>
          </w:tcPr>
          <w:p>
            <w:pPr>
              <w:spacing w:after="0"/>
              <w:rPr>
                <w:sz w:val="15"/>
                <w:szCs w:val="15"/>
                <w:color w:val="auto"/>
              </w:rPr>
            </w:pPr>
          </w:p>
        </w:tc>
        <w:tc>
          <w:tcPr>
            <w:tcW w:w="192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9"/>
              </w:rPr>
            </w:pPr>
            <w:hyperlink r:id="rId110">
              <w:r>
                <w:rPr>
                  <w:rFonts w:ascii="Arial" w:cs="Arial" w:eastAsia="Arial" w:hAnsi="Arial"/>
                  <w:sz w:val="18"/>
                  <w:szCs w:val="18"/>
                  <w:color w:val="0000EE"/>
                  <w:w w:val="99"/>
                </w:rPr>
                <w:t>8-K filed June 27, 2019)</w:t>
              </w:r>
            </w:hyperlink>
          </w:p>
        </w:tc>
        <w:tc>
          <w:tcPr>
            <w:tcW w:w="8120" w:type="dxa"/>
            <w:vAlign w:val="bottom"/>
            <w:tcBorders>
              <w:top w:val="single" w:sz="8" w:color="0000EE"/>
            </w:tcBorders>
            <w:gridSpan w:val="21"/>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520"/>
        </w:trPr>
        <w:tc>
          <w:tcPr>
            <w:tcW w:w="1260" w:type="dxa"/>
            <w:vAlign w:val="bottom"/>
          </w:tcPr>
          <w:p>
            <w:pPr>
              <w:ind w:left="20"/>
              <w:spacing w:after="0"/>
              <w:rPr>
                <w:sz w:val="20"/>
                <w:szCs w:val="20"/>
                <w:color w:val="auto"/>
              </w:rPr>
            </w:pPr>
            <w:r>
              <w:rPr>
                <w:rFonts w:ascii="Arial" w:cs="Arial" w:eastAsia="Arial" w:hAnsi="Arial"/>
                <w:sz w:val="18"/>
                <w:szCs w:val="18"/>
                <w:color w:val="auto"/>
              </w:rPr>
              <w:t>4.2 *</w:t>
            </w:r>
          </w:p>
        </w:tc>
        <w:tc>
          <w:tcPr>
            <w:tcW w:w="10080" w:type="dxa"/>
            <w:vAlign w:val="bottom"/>
            <w:gridSpan w:val="24"/>
          </w:tcPr>
          <w:p>
            <w:pPr>
              <w:spacing w:after="0"/>
              <w:rPr>
                <w:rFonts w:ascii="Arial" w:cs="Arial" w:eastAsia="Arial" w:hAnsi="Arial"/>
                <w:sz w:val="18"/>
                <w:szCs w:val="18"/>
                <w:color w:val="0000FF"/>
              </w:rPr>
            </w:pPr>
            <w:hyperlink r:id="rId111">
              <w:r>
                <w:rPr>
                  <w:rFonts w:ascii="Arial" w:cs="Arial" w:eastAsia="Arial" w:hAnsi="Arial"/>
                  <w:sz w:val="18"/>
                  <w:szCs w:val="18"/>
                  <w:color w:val="0000FF"/>
                </w:rPr>
                <w:t>Rights Agreement, dated as of March 28, 2024, between Lee Enterprises, Incorporated and Equiniti Trust Company, LLC, as</w:t>
              </w:r>
            </w:hyperlink>
          </w:p>
        </w:tc>
      </w:tr>
      <w:tr>
        <w:trPr>
          <w:trHeight w:val="183"/>
        </w:trPr>
        <w:tc>
          <w:tcPr>
            <w:tcW w:w="1260" w:type="dxa"/>
            <w:vAlign w:val="bottom"/>
          </w:tcPr>
          <w:p>
            <w:pPr>
              <w:spacing w:after="0"/>
              <w:rPr>
                <w:sz w:val="15"/>
                <w:szCs w:val="15"/>
                <w:color w:val="auto"/>
              </w:rPr>
            </w:pPr>
          </w:p>
        </w:tc>
        <w:tc>
          <w:tcPr>
            <w:tcW w:w="8720" w:type="dxa"/>
            <w:vAlign w:val="bottom"/>
            <w:tcBorders>
              <w:top w:val="single" w:sz="8" w:color="0000FF"/>
              <w:bottom w:val="single" w:sz="8" w:color="0000FF"/>
            </w:tcBorders>
            <w:gridSpan w:val="10"/>
          </w:tcPr>
          <w:p>
            <w:pPr>
              <w:spacing w:after="0" w:line="182" w:lineRule="exact"/>
              <w:rPr>
                <w:rFonts w:ascii="Arial" w:cs="Arial" w:eastAsia="Arial" w:hAnsi="Arial"/>
                <w:sz w:val="18"/>
                <w:szCs w:val="18"/>
                <w:color w:val="0000FF"/>
                <w:w w:val="99"/>
              </w:rPr>
            </w:pPr>
            <w:hyperlink r:id="rId111">
              <w:r>
                <w:rPr>
                  <w:rFonts w:ascii="Arial" w:cs="Arial" w:eastAsia="Arial" w:hAnsi="Arial"/>
                  <w:sz w:val="18"/>
                  <w:szCs w:val="18"/>
                  <w:color w:val="0000FF"/>
                  <w:w w:val="99"/>
                </w:rPr>
                <w:t>rights agent (Exhibit 4.1 of the Company's Current Report on Form 8-K filed with the SEC on March 29, 2024)</w:t>
              </w:r>
            </w:hyperlink>
          </w:p>
        </w:tc>
        <w:tc>
          <w:tcPr>
            <w:tcW w:w="1200" w:type="dxa"/>
            <w:vAlign w:val="bottom"/>
            <w:tcBorders>
              <w:top w:val="single" w:sz="8" w:color="0000FF"/>
            </w:tcBorders>
            <w:gridSpan w:val="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r>
      <w:tr>
        <w:trPr>
          <w:trHeight w:val="520"/>
        </w:trPr>
        <w:tc>
          <w:tcPr>
            <w:tcW w:w="1260" w:type="dxa"/>
            <w:vAlign w:val="bottom"/>
          </w:tcPr>
          <w:p>
            <w:pPr>
              <w:ind w:left="20"/>
              <w:spacing w:after="0"/>
              <w:rPr>
                <w:sz w:val="20"/>
                <w:szCs w:val="20"/>
                <w:color w:val="auto"/>
              </w:rPr>
            </w:pPr>
            <w:r>
              <w:rPr>
                <w:rFonts w:ascii="Arial" w:cs="Arial" w:eastAsia="Arial" w:hAnsi="Arial"/>
                <w:sz w:val="18"/>
                <w:szCs w:val="18"/>
                <w:color w:val="auto"/>
              </w:rPr>
              <w:t>10.1 *</w:t>
            </w:r>
          </w:p>
        </w:tc>
        <w:tc>
          <w:tcPr>
            <w:tcW w:w="10080" w:type="dxa"/>
            <w:vAlign w:val="bottom"/>
            <w:gridSpan w:val="24"/>
          </w:tcPr>
          <w:p>
            <w:pPr>
              <w:spacing w:after="0"/>
              <w:rPr>
                <w:rFonts w:ascii="Arial" w:cs="Arial" w:eastAsia="Arial" w:hAnsi="Arial"/>
                <w:sz w:val="18"/>
                <w:szCs w:val="18"/>
                <w:color w:val="0000EE"/>
              </w:rPr>
            </w:pPr>
            <w:hyperlink r:id="rId112">
              <w:r>
                <w:rPr>
                  <w:rFonts w:ascii="Arial" w:cs="Arial" w:eastAsia="Arial" w:hAnsi="Arial"/>
                  <w:sz w:val="18"/>
                  <w:szCs w:val="18"/>
                  <w:color w:val="0000EE"/>
                </w:rPr>
                <w:t>Asset and Stock Purchase Agreement dated January 29, 2020 by and among Lee Enterprises, Incorporated, Berkshire</w:t>
              </w:r>
            </w:hyperlink>
          </w:p>
        </w:tc>
      </w:tr>
      <w:tr>
        <w:trPr>
          <w:trHeight w:val="183"/>
        </w:trPr>
        <w:tc>
          <w:tcPr>
            <w:tcW w:w="1260" w:type="dxa"/>
            <w:vAlign w:val="bottom"/>
          </w:tcPr>
          <w:p>
            <w:pPr>
              <w:spacing w:after="0"/>
              <w:rPr>
                <w:sz w:val="15"/>
                <w:szCs w:val="15"/>
                <w:color w:val="auto"/>
              </w:rPr>
            </w:pPr>
          </w:p>
        </w:tc>
        <w:tc>
          <w:tcPr>
            <w:tcW w:w="746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9"/>
              </w:rPr>
            </w:pPr>
            <w:hyperlink r:id="rId112">
              <w:r>
                <w:rPr>
                  <w:rFonts w:ascii="Arial" w:cs="Arial" w:eastAsia="Arial" w:hAnsi="Arial"/>
                  <w:sz w:val="18"/>
                  <w:szCs w:val="18"/>
                  <w:color w:val="0000EE"/>
                  <w:w w:val="99"/>
                </w:rPr>
                <w:t>Hathaway Inc. and BH Media Group, Inc. (Exhibit 10.1 to Form 8-K filed on January 29, 2020)</w:t>
              </w:r>
            </w:hyperlink>
          </w:p>
        </w:tc>
        <w:tc>
          <w:tcPr>
            <w:tcW w:w="2000" w:type="dxa"/>
            <w:vAlign w:val="bottom"/>
            <w:tcBorders>
              <w:top w:val="single" w:sz="8" w:color="0000EE"/>
            </w:tcBorders>
            <w:gridSpan w:val="6"/>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r>
      <w:tr>
        <w:trPr>
          <w:trHeight w:val="520"/>
        </w:trPr>
        <w:tc>
          <w:tcPr>
            <w:tcW w:w="1260" w:type="dxa"/>
            <w:vAlign w:val="bottom"/>
          </w:tcPr>
          <w:p>
            <w:pPr>
              <w:ind w:left="20"/>
              <w:spacing w:after="0"/>
              <w:rPr>
                <w:sz w:val="20"/>
                <w:szCs w:val="20"/>
                <w:color w:val="auto"/>
              </w:rPr>
            </w:pPr>
            <w:r>
              <w:rPr>
                <w:rFonts w:ascii="Arial" w:cs="Arial" w:eastAsia="Arial" w:hAnsi="Arial"/>
                <w:sz w:val="18"/>
                <w:szCs w:val="18"/>
                <w:color w:val="auto"/>
              </w:rPr>
              <w:t>10.2 *</w:t>
            </w:r>
          </w:p>
        </w:tc>
        <w:tc>
          <w:tcPr>
            <w:tcW w:w="10080" w:type="dxa"/>
            <w:vAlign w:val="bottom"/>
            <w:gridSpan w:val="24"/>
          </w:tcPr>
          <w:p>
            <w:pPr>
              <w:spacing w:after="0"/>
              <w:rPr>
                <w:rFonts w:ascii="Arial" w:cs="Arial" w:eastAsia="Arial" w:hAnsi="Arial"/>
                <w:sz w:val="18"/>
                <w:szCs w:val="18"/>
                <w:color w:val="0000EE"/>
              </w:rPr>
            </w:pPr>
            <w:hyperlink r:id="rId113">
              <w:r>
                <w:rPr>
                  <w:rFonts w:ascii="Arial" w:cs="Arial" w:eastAsia="Arial" w:hAnsi="Arial"/>
                  <w:sz w:val="18"/>
                  <w:szCs w:val="18"/>
                  <w:color w:val="0000EE"/>
                </w:rPr>
                <w:t>Credit Agreement dated January 29, 2020 by and between Lee Enterprises, Incorporated and BH Finance LLC (Exhibit 10.2</w:t>
              </w:r>
            </w:hyperlink>
          </w:p>
        </w:tc>
      </w:tr>
      <w:tr>
        <w:trPr>
          <w:trHeight w:val="183"/>
        </w:trPr>
        <w:tc>
          <w:tcPr>
            <w:tcW w:w="1260" w:type="dxa"/>
            <w:vAlign w:val="bottom"/>
          </w:tcPr>
          <w:p>
            <w:pPr>
              <w:spacing w:after="0"/>
              <w:rPr>
                <w:sz w:val="15"/>
                <w:szCs w:val="15"/>
                <w:color w:val="auto"/>
              </w:rPr>
            </w:pPr>
          </w:p>
        </w:tc>
        <w:tc>
          <w:tcPr>
            <w:tcW w:w="1000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r:id="rId113">
              <w:r>
                <w:rPr>
                  <w:rFonts w:ascii="Arial" w:cs="Arial" w:eastAsia="Arial" w:hAnsi="Arial"/>
                  <w:sz w:val="18"/>
                  <w:szCs w:val="18"/>
                  <w:color w:val="0000EE"/>
                </w:rPr>
                <w:t>to Form 8-K filed on January 29, 2020)</w:t>
              </w:r>
            </w:hyperlink>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60" w:type="dxa"/>
            <w:vAlign w:val="bottom"/>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60" w:type="dxa"/>
            <w:vAlign w:val="bottom"/>
          </w:tcPr>
          <w:p>
            <w:pPr>
              <w:ind w:left="20"/>
              <w:spacing w:after="0"/>
              <w:rPr>
                <w:sz w:val="20"/>
                <w:szCs w:val="20"/>
                <w:color w:val="auto"/>
              </w:rPr>
            </w:pPr>
            <w:r>
              <w:rPr>
                <w:rFonts w:ascii="Arial" w:cs="Arial" w:eastAsia="Arial" w:hAnsi="Arial"/>
                <w:sz w:val="18"/>
                <w:szCs w:val="18"/>
                <w:color w:val="auto"/>
              </w:rPr>
              <w:t>10.3 *</w:t>
            </w:r>
          </w:p>
        </w:tc>
        <w:tc>
          <w:tcPr>
            <w:tcW w:w="10080" w:type="dxa"/>
            <w:vAlign w:val="bottom"/>
            <w:gridSpan w:val="24"/>
          </w:tcPr>
          <w:p>
            <w:pPr>
              <w:spacing w:after="0"/>
              <w:rPr>
                <w:rFonts w:ascii="Arial" w:cs="Arial" w:eastAsia="Arial" w:hAnsi="Arial"/>
                <w:sz w:val="18"/>
                <w:szCs w:val="18"/>
                <w:color w:val="0000EE"/>
              </w:rPr>
            </w:pPr>
            <w:hyperlink r:id="rId114">
              <w:r>
                <w:rPr>
                  <w:rFonts w:ascii="Arial" w:cs="Arial" w:eastAsia="Arial" w:hAnsi="Arial"/>
                  <w:sz w:val="18"/>
                  <w:szCs w:val="18"/>
                  <w:color w:val="0000EE"/>
                </w:rPr>
                <w:t>Form of Lease Agreement by and between Lee Enterprises, Incorporated and BH Media Group, Inc. (Exhibit 10.3 to Form 8-</w:t>
              </w:r>
            </w:hyperlink>
          </w:p>
        </w:tc>
      </w:tr>
      <w:tr>
        <w:trPr>
          <w:trHeight w:val="183"/>
        </w:trPr>
        <w:tc>
          <w:tcPr>
            <w:tcW w:w="1260" w:type="dxa"/>
            <w:vAlign w:val="bottom"/>
          </w:tcPr>
          <w:p>
            <w:pPr>
              <w:spacing w:after="0"/>
              <w:rPr>
                <w:sz w:val="15"/>
                <w:szCs w:val="15"/>
                <w:color w:val="auto"/>
              </w:rPr>
            </w:pPr>
          </w:p>
        </w:tc>
        <w:tc>
          <w:tcPr>
            <w:tcW w:w="226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9"/>
              </w:rPr>
            </w:pPr>
            <w:hyperlink r:id="rId114">
              <w:r>
                <w:rPr>
                  <w:rFonts w:ascii="Arial" w:cs="Arial" w:eastAsia="Arial" w:hAnsi="Arial"/>
                  <w:sz w:val="18"/>
                  <w:szCs w:val="18"/>
                  <w:color w:val="0000EE"/>
                  <w:w w:val="99"/>
                </w:rPr>
                <w:t>K filed on January 29, 2020)</w:t>
              </w:r>
            </w:hyperlink>
          </w:p>
        </w:tc>
        <w:tc>
          <w:tcPr>
            <w:tcW w:w="7640" w:type="dxa"/>
            <w:vAlign w:val="bottom"/>
            <w:tcBorders>
              <w:top w:val="single" w:sz="8" w:color="0000EE"/>
            </w:tcBorders>
            <w:gridSpan w:val="1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r>
      <w:tr>
        <w:trPr>
          <w:trHeight w:val="520"/>
        </w:trPr>
        <w:tc>
          <w:tcPr>
            <w:tcW w:w="1260" w:type="dxa"/>
            <w:vAlign w:val="bottom"/>
          </w:tcPr>
          <w:p>
            <w:pPr>
              <w:ind w:left="20"/>
              <w:spacing w:after="0"/>
              <w:rPr>
                <w:sz w:val="20"/>
                <w:szCs w:val="20"/>
                <w:color w:val="auto"/>
              </w:rPr>
            </w:pPr>
            <w:r>
              <w:rPr>
                <w:rFonts w:ascii="Arial" w:cs="Arial" w:eastAsia="Arial" w:hAnsi="Arial"/>
                <w:sz w:val="18"/>
                <w:szCs w:val="18"/>
                <w:color w:val="auto"/>
              </w:rPr>
              <w:t>10.4 *</w:t>
            </w:r>
          </w:p>
        </w:tc>
        <w:tc>
          <w:tcPr>
            <w:tcW w:w="10080" w:type="dxa"/>
            <w:vAlign w:val="bottom"/>
            <w:gridSpan w:val="24"/>
          </w:tcPr>
          <w:p>
            <w:pPr>
              <w:spacing w:after="0"/>
              <w:rPr>
                <w:rFonts w:ascii="Arial" w:cs="Arial" w:eastAsia="Arial" w:hAnsi="Arial"/>
                <w:sz w:val="18"/>
                <w:szCs w:val="18"/>
                <w:color w:val="0000EE"/>
              </w:rPr>
            </w:pPr>
            <w:hyperlink r:id="rId115">
              <w:r>
                <w:rPr>
                  <w:rFonts w:ascii="Arial" w:cs="Arial" w:eastAsia="Arial" w:hAnsi="Arial"/>
                  <w:sz w:val="18"/>
                  <w:szCs w:val="18"/>
                  <w:color w:val="0000EE"/>
                </w:rPr>
                <w:t>Operating Agreement of St. Louis Post-Dispatch LLC, dated as of May 1, 2000, as amended by Amendment No. 1 to</w:t>
              </w:r>
            </w:hyperlink>
          </w:p>
        </w:tc>
      </w:tr>
      <w:tr>
        <w:trPr>
          <w:trHeight w:val="20"/>
        </w:trPr>
        <w:tc>
          <w:tcPr>
            <w:tcW w:w="1260" w:type="dxa"/>
            <w:vAlign w:val="bottom"/>
          </w:tcPr>
          <w:p>
            <w:pPr>
              <w:spacing w:after="0" w:line="20" w:lineRule="exact"/>
              <w:rPr>
                <w:sz w:val="1"/>
                <w:szCs w:val="1"/>
                <w:color w:val="auto"/>
              </w:rPr>
            </w:pPr>
          </w:p>
        </w:tc>
        <w:tc>
          <w:tcPr>
            <w:tcW w:w="2440" w:type="dxa"/>
            <w:vAlign w:val="bottom"/>
            <w:gridSpan w:val="3"/>
            <w:shd w:val="clear" w:color="auto" w:fill="0000EE"/>
          </w:tcPr>
          <w:p>
            <w:pPr>
              <w:spacing w:after="0" w:line="20" w:lineRule="exact"/>
              <w:rPr>
                <w:sz w:val="1"/>
                <w:szCs w:val="1"/>
                <w:color w:val="auto"/>
              </w:rPr>
            </w:pPr>
          </w:p>
        </w:tc>
        <w:tc>
          <w:tcPr>
            <w:tcW w:w="4420" w:type="dxa"/>
            <w:vAlign w:val="bottom"/>
            <w:gridSpan w:val="3"/>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9560" w:type="dxa"/>
            <w:vAlign w:val="bottom"/>
            <w:tcBorders>
              <w:bottom w:val="single" w:sz="8" w:color="0000EE"/>
            </w:tcBorders>
            <w:gridSpan w:val="14"/>
          </w:tcPr>
          <w:p>
            <w:pPr>
              <w:spacing w:after="0" w:line="182" w:lineRule="exact"/>
              <w:rPr>
                <w:rFonts w:ascii="Arial" w:cs="Arial" w:eastAsia="Arial" w:hAnsi="Arial"/>
                <w:sz w:val="18"/>
                <w:szCs w:val="18"/>
                <w:color w:val="0000EE"/>
                <w:w w:val="99"/>
              </w:rPr>
            </w:pPr>
            <w:hyperlink r:id="rId115">
              <w:r>
                <w:rPr>
                  <w:rFonts w:ascii="Arial" w:cs="Arial" w:eastAsia="Arial" w:hAnsi="Arial"/>
                  <w:sz w:val="18"/>
                  <w:szCs w:val="18"/>
                  <w:color w:val="0000EE"/>
                  <w:w w:val="99"/>
                </w:rPr>
                <w:t>Operating Agreement of St. Louis Post-Dispatch LLC, dated as of June 1, 2001 (Exhibit 10.5 to Form 10-Q for the Fiscal</w:t>
              </w:r>
            </w:hyperlink>
          </w:p>
        </w:tc>
        <w:tc>
          <w:tcPr>
            <w:tcW w:w="520" w:type="dxa"/>
            <w:vAlign w:val="bottom"/>
            <w:gridSpan w:val="10"/>
          </w:tcPr>
          <w:p>
            <w:pPr>
              <w:spacing w:after="0"/>
              <w:rPr>
                <w:sz w:val="15"/>
                <w:szCs w:val="15"/>
                <w:color w:val="auto"/>
              </w:rPr>
            </w:pPr>
          </w:p>
        </w:tc>
      </w:tr>
      <w:tr>
        <w:trPr>
          <w:trHeight w:val="196"/>
        </w:trPr>
        <w:tc>
          <w:tcPr>
            <w:tcW w:w="1260" w:type="dxa"/>
            <w:vAlign w:val="bottom"/>
          </w:tcPr>
          <w:p>
            <w:pPr>
              <w:spacing w:after="0"/>
              <w:rPr>
                <w:sz w:val="17"/>
                <w:szCs w:val="17"/>
                <w:color w:val="auto"/>
              </w:rPr>
            </w:pPr>
          </w:p>
        </w:tc>
        <w:tc>
          <w:tcPr>
            <w:tcW w:w="2440" w:type="dxa"/>
            <w:vAlign w:val="bottom"/>
            <w:tcBorders>
              <w:bottom w:val="single" w:sz="8" w:color="0000EE"/>
            </w:tcBorders>
            <w:gridSpan w:val="3"/>
          </w:tcPr>
          <w:p>
            <w:pPr>
              <w:spacing w:after="0" w:line="196" w:lineRule="exact"/>
              <w:rPr>
                <w:rFonts w:ascii="Arial" w:cs="Arial" w:eastAsia="Arial" w:hAnsi="Arial"/>
                <w:sz w:val="18"/>
                <w:szCs w:val="18"/>
                <w:color w:val="0000EE"/>
                <w:w w:val="99"/>
              </w:rPr>
            </w:pPr>
            <w:hyperlink r:id="rId115">
              <w:r>
                <w:rPr>
                  <w:rFonts w:ascii="Arial" w:cs="Arial" w:eastAsia="Arial" w:hAnsi="Arial"/>
                  <w:sz w:val="18"/>
                  <w:szCs w:val="18"/>
                  <w:color w:val="0000EE"/>
                  <w:w w:val="99"/>
                </w:rPr>
                <w:t>Quarter Ended June 30, 2005)</w:t>
              </w:r>
            </w:hyperlink>
          </w:p>
        </w:tc>
        <w:tc>
          <w:tcPr>
            <w:tcW w:w="7640" w:type="dxa"/>
            <w:vAlign w:val="bottom"/>
            <w:gridSpan w:val="21"/>
          </w:tcPr>
          <w:p>
            <w:pPr>
              <w:spacing w:after="0"/>
              <w:rPr>
                <w:sz w:val="17"/>
                <w:szCs w:val="17"/>
                <w:color w:val="auto"/>
              </w:rPr>
            </w:pPr>
          </w:p>
        </w:tc>
      </w:tr>
      <w:tr>
        <w:trPr>
          <w:trHeight w:val="506"/>
        </w:trPr>
        <w:tc>
          <w:tcPr>
            <w:tcW w:w="1260" w:type="dxa"/>
            <w:vAlign w:val="bottom"/>
          </w:tcPr>
          <w:p>
            <w:pPr>
              <w:ind w:left="20"/>
              <w:spacing w:after="0"/>
              <w:rPr>
                <w:sz w:val="20"/>
                <w:szCs w:val="20"/>
                <w:color w:val="auto"/>
              </w:rPr>
            </w:pPr>
            <w:r>
              <w:rPr>
                <w:rFonts w:ascii="Arial" w:cs="Arial" w:eastAsia="Arial" w:hAnsi="Arial"/>
                <w:sz w:val="18"/>
                <w:szCs w:val="18"/>
                <w:color w:val="auto"/>
              </w:rPr>
              <w:t>10.5 *</w:t>
            </w:r>
          </w:p>
        </w:tc>
        <w:tc>
          <w:tcPr>
            <w:tcW w:w="10080" w:type="dxa"/>
            <w:vAlign w:val="bottom"/>
            <w:gridSpan w:val="24"/>
          </w:tcPr>
          <w:p>
            <w:pPr>
              <w:spacing w:after="0"/>
              <w:rPr>
                <w:rFonts w:ascii="Arial" w:cs="Arial" w:eastAsia="Arial" w:hAnsi="Arial"/>
                <w:sz w:val="18"/>
                <w:szCs w:val="18"/>
                <w:color w:val="0000EE"/>
              </w:rPr>
            </w:pPr>
            <w:hyperlink r:id="rId116">
              <w:r>
                <w:rPr>
                  <w:rFonts w:ascii="Arial" w:cs="Arial" w:eastAsia="Arial" w:hAnsi="Arial"/>
                  <w:sz w:val="18"/>
                  <w:szCs w:val="18"/>
                  <w:color w:val="0000EE"/>
                </w:rPr>
                <w:t>Amendment Number Two to Operating Agreement of St. Louis Post-Dispatch LLC, effective February 18, 2009, between</w:t>
              </w:r>
            </w:hyperlink>
          </w:p>
        </w:tc>
      </w:tr>
      <w:tr>
        <w:trPr>
          <w:trHeight w:val="183"/>
        </w:trPr>
        <w:tc>
          <w:tcPr>
            <w:tcW w:w="1260" w:type="dxa"/>
            <w:vAlign w:val="bottom"/>
          </w:tcPr>
          <w:p>
            <w:pPr>
              <w:spacing w:after="0"/>
              <w:rPr>
                <w:sz w:val="15"/>
                <w:szCs w:val="15"/>
                <w:color w:val="auto"/>
              </w:rPr>
            </w:pPr>
          </w:p>
        </w:tc>
        <w:tc>
          <w:tcPr>
            <w:tcW w:w="938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w w:val="99"/>
              </w:rPr>
            </w:pPr>
            <w:hyperlink r:id="rId116">
              <w:r>
                <w:rPr>
                  <w:rFonts w:ascii="Arial" w:cs="Arial" w:eastAsia="Arial" w:hAnsi="Arial"/>
                  <w:sz w:val="18"/>
                  <w:szCs w:val="18"/>
                  <w:color w:val="0000EE"/>
                  <w:w w:val="99"/>
                </w:rPr>
                <w:t>Pulitzer Inc. and Pulitzer Technologies, Inc. (Exhibit 10.13 to Form 10-Q for the Fiscal Quarter Ended March 29, 2009)</w:t>
              </w:r>
            </w:hyperlink>
          </w:p>
        </w:tc>
        <w:tc>
          <w:tcPr>
            <w:tcW w:w="600" w:type="dxa"/>
            <w:vAlign w:val="bottom"/>
            <w:tcBorders>
              <w:top w:val="single" w:sz="8" w:color="0000EE"/>
            </w:tcBorders>
            <w:gridSpan w:val="7"/>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r>
      <w:tr>
        <w:trPr>
          <w:trHeight w:val="520"/>
        </w:trPr>
        <w:tc>
          <w:tcPr>
            <w:tcW w:w="1260" w:type="dxa"/>
            <w:vAlign w:val="bottom"/>
          </w:tcPr>
          <w:p>
            <w:pPr>
              <w:ind w:left="20"/>
              <w:spacing w:after="0"/>
              <w:rPr>
                <w:sz w:val="20"/>
                <w:szCs w:val="20"/>
                <w:color w:val="auto"/>
              </w:rPr>
            </w:pPr>
            <w:r>
              <w:rPr>
                <w:rFonts w:ascii="Arial" w:cs="Arial" w:eastAsia="Arial" w:hAnsi="Arial"/>
                <w:sz w:val="18"/>
                <w:szCs w:val="18"/>
                <w:color w:val="auto"/>
              </w:rPr>
              <w:t>10.6 *</w:t>
            </w:r>
          </w:p>
        </w:tc>
        <w:tc>
          <w:tcPr>
            <w:tcW w:w="10080" w:type="dxa"/>
            <w:vAlign w:val="bottom"/>
            <w:gridSpan w:val="24"/>
          </w:tcPr>
          <w:p>
            <w:pPr>
              <w:spacing w:after="0"/>
              <w:rPr>
                <w:rFonts w:ascii="Arial" w:cs="Arial" w:eastAsia="Arial" w:hAnsi="Arial"/>
                <w:sz w:val="18"/>
                <w:szCs w:val="18"/>
                <w:color w:val="0000EE"/>
              </w:rPr>
            </w:pPr>
            <w:hyperlink r:id="rId117">
              <w:r>
                <w:rPr>
                  <w:rFonts w:ascii="Arial" w:cs="Arial" w:eastAsia="Arial" w:hAnsi="Arial"/>
                  <w:sz w:val="18"/>
                  <w:szCs w:val="18"/>
                  <w:color w:val="0000EE"/>
                </w:rPr>
                <w:t>Amended and Restated Joint Operating Agreement, dated December 22, 1988, between Star Publishing Company and</w:t>
              </w:r>
            </w:hyperlink>
          </w:p>
        </w:tc>
      </w:tr>
      <w:tr>
        <w:trPr>
          <w:trHeight w:val="183"/>
        </w:trPr>
        <w:tc>
          <w:tcPr>
            <w:tcW w:w="1260" w:type="dxa"/>
            <w:vAlign w:val="bottom"/>
          </w:tcPr>
          <w:p>
            <w:pPr>
              <w:spacing w:after="0"/>
              <w:rPr>
                <w:sz w:val="15"/>
                <w:szCs w:val="15"/>
                <w:color w:val="auto"/>
              </w:rPr>
            </w:pPr>
          </w:p>
        </w:tc>
        <w:tc>
          <w:tcPr>
            <w:tcW w:w="994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r:id="rId117">
              <w:r>
                <w:rPr>
                  <w:rFonts w:ascii="Arial" w:cs="Arial" w:eastAsia="Arial" w:hAnsi="Arial"/>
                  <w:sz w:val="18"/>
                  <w:szCs w:val="18"/>
                  <w:color w:val="0000EE"/>
                </w:rPr>
                <w:t>Citizen Publishing Company (Exhibit 10.2 to Form 10-Q for the Fiscal Quarter Ended June 30, 2005)</w:t>
              </w:r>
            </w:hyperlink>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60" w:type="dxa"/>
            <w:vAlign w:val="bottom"/>
          </w:tcPr>
          <w:p>
            <w:pPr>
              <w:spacing w:after="0" w:line="20" w:lineRule="exact"/>
              <w:rPr>
                <w:sz w:val="1"/>
                <w:szCs w:val="1"/>
                <w:color w:val="auto"/>
              </w:rPr>
            </w:pPr>
          </w:p>
        </w:tc>
        <w:tc>
          <w:tcPr>
            <w:tcW w:w="6860" w:type="dxa"/>
            <w:vAlign w:val="bottom"/>
            <w:gridSpan w:val="6"/>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60" w:type="dxa"/>
            <w:vAlign w:val="bottom"/>
          </w:tcPr>
          <w:p>
            <w:pPr>
              <w:ind w:left="20"/>
              <w:spacing w:after="0"/>
              <w:rPr>
                <w:sz w:val="20"/>
                <w:szCs w:val="20"/>
                <w:color w:val="auto"/>
              </w:rPr>
            </w:pPr>
            <w:r>
              <w:rPr>
                <w:rFonts w:ascii="Arial" w:cs="Arial" w:eastAsia="Arial" w:hAnsi="Arial"/>
                <w:sz w:val="18"/>
                <w:szCs w:val="18"/>
                <w:color w:val="auto"/>
              </w:rPr>
              <w:t>10.7 *</w:t>
            </w:r>
          </w:p>
        </w:tc>
        <w:tc>
          <w:tcPr>
            <w:tcW w:w="10080" w:type="dxa"/>
            <w:vAlign w:val="bottom"/>
            <w:gridSpan w:val="24"/>
          </w:tcPr>
          <w:p>
            <w:pPr>
              <w:spacing w:after="0"/>
              <w:rPr>
                <w:rFonts w:ascii="Arial" w:cs="Arial" w:eastAsia="Arial" w:hAnsi="Arial"/>
                <w:sz w:val="18"/>
                <w:szCs w:val="18"/>
                <w:color w:val="0000EE"/>
              </w:rPr>
            </w:pPr>
            <w:hyperlink r:id="rId118">
              <w:r>
                <w:rPr>
                  <w:rFonts w:ascii="Arial" w:cs="Arial" w:eastAsia="Arial" w:hAnsi="Arial"/>
                  <w:sz w:val="18"/>
                  <w:szCs w:val="18"/>
                  <w:color w:val="0000EE"/>
                </w:rPr>
                <w:t>Amended and Restated Partnership Agreement, dated as of November 30, 2009, between Star Publishing Company and</w:t>
              </w:r>
            </w:hyperlink>
          </w:p>
        </w:tc>
      </w:tr>
      <w:tr>
        <w:trPr>
          <w:trHeight w:val="183"/>
        </w:trPr>
        <w:tc>
          <w:tcPr>
            <w:tcW w:w="1260" w:type="dxa"/>
            <w:vAlign w:val="bottom"/>
          </w:tcPr>
          <w:p>
            <w:pPr>
              <w:spacing w:after="0"/>
              <w:rPr>
                <w:sz w:val="15"/>
                <w:szCs w:val="15"/>
                <w:color w:val="auto"/>
              </w:rPr>
            </w:pPr>
          </w:p>
        </w:tc>
        <w:tc>
          <w:tcPr>
            <w:tcW w:w="1006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r:id="rId118">
              <w:r>
                <w:rPr>
                  <w:rFonts w:ascii="Arial" w:cs="Arial" w:eastAsia="Arial" w:hAnsi="Arial"/>
                  <w:sz w:val="18"/>
                  <w:szCs w:val="18"/>
                  <w:color w:val="0000EE"/>
                </w:rPr>
                <w:t>Citizen Publishing Company (Exhibit 10.2 to Form 10-Q for the Fiscal Quarter Ended December 27, 2009)</w:t>
              </w:r>
            </w:hyperlink>
          </w:p>
        </w:tc>
        <w:tc>
          <w:tcPr>
            <w:tcW w:w="20" w:type="dxa"/>
            <w:vAlign w:val="bottom"/>
          </w:tcPr>
          <w:p>
            <w:pPr>
              <w:spacing w:after="0"/>
              <w:rPr>
                <w:sz w:val="15"/>
                <w:szCs w:val="15"/>
                <w:color w:val="auto"/>
              </w:rPr>
            </w:pPr>
          </w:p>
        </w:tc>
      </w:tr>
      <w:tr>
        <w:trPr>
          <w:trHeight w:val="20"/>
        </w:trPr>
        <w:tc>
          <w:tcPr>
            <w:tcW w:w="1260" w:type="dxa"/>
            <w:vAlign w:val="bottom"/>
          </w:tcPr>
          <w:p>
            <w:pPr>
              <w:spacing w:after="0" w:line="20" w:lineRule="exact"/>
              <w:rPr>
                <w:sz w:val="1"/>
                <w:szCs w:val="1"/>
                <w:color w:val="auto"/>
              </w:rPr>
            </w:pPr>
          </w:p>
        </w:tc>
        <w:tc>
          <w:tcPr>
            <w:tcW w:w="6860" w:type="dxa"/>
            <w:vAlign w:val="bottom"/>
            <w:gridSpan w:val="6"/>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520"/>
        </w:trPr>
        <w:tc>
          <w:tcPr>
            <w:tcW w:w="1260" w:type="dxa"/>
            <w:vAlign w:val="bottom"/>
          </w:tcPr>
          <w:p>
            <w:pPr>
              <w:ind w:left="20"/>
              <w:spacing w:after="0"/>
              <w:rPr>
                <w:sz w:val="20"/>
                <w:szCs w:val="20"/>
                <w:color w:val="auto"/>
              </w:rPr>
            </w:pPr>
            <w:r>
              <w:rPr>
                <w:rFonts w:ascii="Arial" w:cs="Arial" w:eastAsia="Arial" w:hAnsi="Arial"/>
                <w:sz w:val="18"/>
                <w:szCs w:val="18"/>
                <w:color w:val="auto"/>
              </w:rPr>
              <w:t>10.8 *</w:t>
            </w:r>
          </w:p>
        </w:tc>
        <w:tc>
          <w:tcPr>
            <w:tcW w:w="10080" w:type="dxa"/>
            <w:vAlign w:val="bottom"/>
            <w:gridSpan w:val="24"/>
          </w:tcPr>
          <w:p>
            <w:pPr>
              <w:spacing w:after="0"/>
              <w:rPr>
                <w:rFonts w:ascii="Arial" w:cs="Arial" w:eastAsia="Arial" w:hAnsi="Arial"/>
                <w:sz w:val="18"/>
                <w:szCs w:val="18"/>
                <w:color w:val="0000EE"/>
              </w:rPr>
            </w:pPr>
            <w:hyperlink r:id="rId119">
              <w:r>
                <w:rPr>
                  <w:rFonts w:ascii="Arial" w:cs="Arial" w:eastAsia="Arial" w:hAnsi="Arial"/>
                  <w:sz w:val="18"/>
                  <w:szCs w:val="18"/>
                  <w:color w:val="0000EE"/>
                </w:rPr>
                <w:t>Amended and Restated Management Agreement, dated as of November 30, 2009, between Star Publishing Company and</w:t>
              </w:r>
            </w:hyperlink>
          </w:p>
        </w:tc>
      </w:tr>
      <w:tr>
        <w:trPr>
          <w:trHeight w:val="183"/>
        </w:trPr>
        <w:tc>
          <w:tcPr>
            <w:tcW w:w="1260" w:type="dxa"/>
            <w:vAlign w:val="bottom"/>
          </w:tcPr>
          <w:p>
            <w:pPr>
              <w:spacing w:after="0"/>
              <w:rPr>
                <w:sz w:val="15"/>
                <w:szCs w:val="15"/>
                <w:color w:val="auto"/>
              </w:rPr>
            </w:pPr>
          </w:p>
        </w:tc>
        <w:tc>
          <w:tcPr>
            <w:tcW w:w="996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r:id="rId119">
              <w:r>
                <w:rPr>
                  <w:rFonts w:ascii="Arial" w:cs="Arial" w:eastAsia="Arial" w:hAnsi="Arial"/>
                  <w:sz w:val="18"/>
                  <w:szCs w:val="18"/>
                  <w:color w:val="0000EE"/>
                </w:rPr>
                <w:t>Citizen Publishing Company (Exhibit 10.1 to Form 10-Q for the Fiscal Quarter Ended December 27, 2009)</w:t>
              </w:r>
            </w:hyperlink>
          </w:p>
        </w:tc>
        <w:tc>
          <w:tcPr>
            <w:tcW w:w="120" w:type="dxa"/>
            <w:vAlign w:val="bottom"/>
            <w:gridSpan w:val="6"/>
          </w:tcPr>
          <w:p>
            <w:pPr>
              <w:spacing w:after="0"/>
              <w:rPr>
                <w:sz w:val="15"/>
                <w:szCs w:val="15"/>
                <w:color w:val="auto"/>
              </w:rPr>
            </w:pPr>
          </w:p>
        </w:tc>
      </w:tr>
      <w:tr>
        <w:trPr>
          <w:trHeight w:val="20"/>
        </w:trPr>
        <w:tc>
          <w:tcPr>
            <w:tcW w:w="1260" w:type="dxa"/>
            <w:vAlign w:val="bottom"/>
          </w:tcPr>
          <w:p>
            <w:pPr>
              <w:spacing w:after="0" w:line="20" w:lineRule="exact"/>
              <w:rPr>
                <w:sz w:val="1"/>
                <w:szCs w:val="1"/>
                <w:color w:val="auto"/>
              </w:rPr>
            </w:pPr>
          </w:p>
        </w:tc>
        <w:tc>
          <w:tcPr>
            <w:tcW w:w="6860" w:type="dxa"/>
            <w:vAlign w:val="bottom"/>
            <w:gridSpan w:val="6"/>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700" w:type="dxa"/>
            <w:vAlign w:val="bottom"/>
            <w:gridSpan w:val="12"/>
          </w:tcPr>
          <w:p>
            <w:pPr>
              <w:spacing w:after="0" w:line="20" w:lineRule="exact"/>
              <w:rPr>
                <w:sz w:val="1"/>
                <w:szCs w:val="1"/>
                <w:color w:val="auto"/>
              </w:rPr>
            </w:pPr>
          </w:p>
        </w:tc>
      </w:tr>
      <w:tr>
        <w:trPr>
          <w:trHeight w:val="520"/>
        </w:trPr>
        <w:tc>
          <w:tcPr>
            <w:tcW w:w="1260" w:type="dxa"/>
            <w:vAlign w:val="bottom"/>
          </w:tcPr>
          <w:p>
            <w:pPr>
              <w:ind w:left="20"/>
              <w:spacing w:after="0"/>
              <w:rPr>
                <w:sz w:val="20"/>
                <w:szCs w:val="20"/>
                <w:color w:val="auto"/>
              </w:rPr>
            </w:pPr>
            <w:r>
              <w:rPr>
                <w:rFonts w:ascii="Arial" w:cs="Arial" w:eastAsia="Arial" w:hAnsi="Arial"/>
                <w:sz w:val="18"/>
                <w:szCs w:val="18"/>
                <w:color w:val="auto"/>
              </w:rPr>
              <w:t>10.9 *</w:t>
            </w:r>
          </w:p>
        </w:tc>
        <w:tc>
          <w:tcPr>
            <w:tcW w:w="10080" w:type="dxa"/>
            <w:vAlign w:val="bottom"/>
            <w:gridSpan w:val="24"/>
          </w:tcPr>
          <w:p>
            <w:pPr>
              <w:spacing w:after="0"/>
              <w:rPr>
                <w:rFonts w:ascii="Arial" w:cs="Arial" w:eastAsia="Arial" w:hAnsi="Arial"/>
                <w:sz w:val="18"/>
                <w:szCs w:val="18"/>
                <w:color w:val="0000EE"/>
              </w:rPr>
            </w:pPr>
            <w:hyperlink r:id="rId120">
              <w:r>
                <w:rPr>
                  <w:rFonts w:ascii="Arial" w:cs="Arial" w:eastAsia="Arial" w:hAnsi="Arial"/>
                  <w:sz w:val="18"/>
                  <w:szCs w:val="18"/>
                  <w:color w:val="0000EE"/>
                </w:rPr>
                <w:t>License Agreement (Star), as amended and restated November 30, 2009, between Star Publishing Company and TNI</w:t>
              </w:r>
            </w:hyperlink>
          </w:p>
        </w:tc>
      </w:tr>
      <w:tr>
        <w:trPr>
          <w:trHeight w:val="183"/>
        </w:trPr>
        <w:tc>
          <w:tcPr>
            <w:tcW w:w="1260" w:type="dxa"/>
            <w:vAlign w:val="bottom"/>
          </w:tcPr>
          <w:p>
            <w:pPr>
              <w:spacing w:after="0"/>
              <w:rPr>
                <w:sz w:val="15"/>
                <w:szCs w:val="15"/>
                <w:color w:val="auto"/>
              </w:rPr>
            </w:pPr>
          </w:p>
        </w:tc>
        <w:tc>
          <w:tcPr>
            <w:tcW w:w="686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9"/>
              </w:rPr>
            </w:pPr>
            <w:hyperlink r:id="rId120">
              <w:r>
                <w:rPr>
                  <w:rFonts w:ascii="Arial" w:cs="Arial" w:eastAsia="Arial" w:hAnsi="Arial"/>
                  <w:sz w:val="18"/>
                  <w:szCs w:val="18"/>
                  <w:color w:val="0000EE"/>
                  <w:w w:val="99"/>
                </w:rPr>
                <w:t>Partners (Exhibit 10.3 to Form 10-Q for the Fiscal Quarter Ended December 27, 2009)</w:t>
              </w:r>
            </w:hyperlink>
          </w:p>
        </w:tc>
        <w:tc>
          <w:tcPr>
            <w:tcW w:w="2520" w:type="dxa"/>
            <w:vAlign w:val="bottom"/>
            <w:tcBorders>
              <w:top w:val="single" w:sz="8" w:color="0000EE"/>
            </w:tcBorders>
            <w:gridSpan w:val="6"/>
          </w:tcPr>
          <w:p>
            <w:pPr>
              <w:spacing w:after="0"/>
              <w:rPr>
                <w:sz w:val="15"/>
                <w:szCs w:val="15"/>
                <w:color w:val="auto"/>
              </w:rPr>
            </w:pPr>
          </w:p>
        </w:tc>
        <w:tc>
          <w:tcPr>
            <w:tcW w:w="700" w:type="dxa"/>
            <w:vAlign w:val="bottom"/>
            <w:gridSpan w:val="12"/>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4440" w:type="dxa"/>
            <w:vAlign w:val="bottom"/>
            <w:tcBorders>
              <w:bottom w:val="single" w:sz="8" w:color="auto"/>
            </w:tcBorders>
          </w:tcPr>
          <w:p>
            <w:pPr>
              <w:spacing w:after="0"/>
              <w:rPr>
                <w:sz w:val="21"/>
                <w:szCs w:val="21"/>
                <w:color w:val="auto"/>
              </w:rPr>
            </w:pPr>
          </w:p>
        </w:tc>
        <w:tc>
          <w:tcPr>
            <w:tcW w:w="5540" w:type="dxa"/>
            <w:vAlign w:val="bottom"/>
            <w:tcBorders>
              <w:bottom w:val="single" w:sz="8" w:color="auto"/>
            </w:tcBorders>
            <w:gridSpan w:val="21"/>
          </w:tcPr>
          <w:p>
            <w:pPr>
              <w:ind w:left="100"/>
              <w:spacing w:after="0"/>
              <w:rPr>
                <w:sz w:val="20"/>
                <w:szCs w:val="20"/>
                <w:color w:val="auto"/>
              </w:rPr>
            </w:pPr>
            <w:r>
              <w:rPr>
                <w:rFonts w:ascii="Arial" w:cs="Arial" w:eastAsia="Arial" w:hAnsi="Arial"/>
                <w:sz w:val="18"/>
                <w:szCs w:val="18"/>
                <w:color w:val="auto"/>
              </w:rPr>
              <w:t>Description</w:t>
            </w:r>
          </w:p>
        </w:tc>
      </w:tr>
      <w:tr>
        <w:trPr>
          <w:trHeight w:val="201"/>
        </w:trPr>
        <w:tc>
          <w:tcPr>
            <w:tcW w:w="1260" w:type="dxa"/>
            <w:vAlign w:val="bottom"/>
          </w:tcPr>
          <w:p>
            <w:pPr>
              <w:ind w:left="20"/>
              <w:spacing w:after="0" w:line="201" w:lineRule="exact"/>
              <w:rPr>
                <w:sz w:val="20"/>
                <w:szCs w:val="20"/>
                <w:color w:val="auto"/>
              </w:rPr>
            </w:pPr>
            <w:r>
              <w:rPr>
                <w:rFonts w:ascii="Arial" w:cs="Arial" w:eastAsia="Arial" w:hAnsi="Arial"/>
                <w:sz w:val="18"/>
                <w:szCs w:val="18"/>
                <w:color w:val="auto"/>
              </w:rPr>
              <w:t>10.10 *</w:t>
            </w:r>
          </w:p>
        </w:tc>
        <w:tc>
          <w:tcPr>
            <w:tcW w:w="9840" w:type="dxa"/>
            <w:vAlign w:val="bottom"/>
            <w:tcBorders>
              <w:bottom w:val="single" w:sz="8" w:color="0000EE"/>
            </w:tcBorders>
            <w:gridSpan w:val="16"/>
          </w:tcPr>
          <w:p>
            <w:pPr>
              <w:spacing w:after="0" w:line="201" w:lineRule="exact"/>
              <w:rPr>
                <w:rFonts w:ascii="Arial" w:cs="Arial" w:eastAsia="Arial" w:hAnsi="Arial"/>
                <w:sz w:val="18"/>
                <w:szCs w:val="18"/>
                <w:color w:val="0000EE"/>
              </w:rPr>
            </w:pPr>
            <w:hyperlink r:id="rId123">
              <w:r>
                <w:rPr>
                  <w:rFonts w:ascii="Arial" w:cs="Arial" w:eastAsia="Arial" w:hAnsi="Arial"/>
                  <w:sz w:val="18"/>
                  <w:szCs w:val="18"/>
                  <w:color w:val="0000EE"/>
                </w:rPr>
                <w:t>License Agreement (Citizen), as amended and restated November 30, 2009, between Citizen Publishing Company and TNI</w:t>
              </w:r>
            </w:hyperlink>
          </w:p>
        </w:tc>
        <w:tc>
          <w:tcPr>
            <w:tcW w:w="140" w:type="dxa"/>
            <w:vAlign w:val="bottom"/>
            <w:gridSpan w:val="6"/>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6860" w:type="dxa"/>
            <w:vAlign w:val="bottom"/>
            <w:tcBorders>
              <w:bottom w:val="single" w:sz="8" w:color="0000EE"/>
            </w:tcBorders>
            <w:gridSpan w:val="9"/>
          </w:tcPr>
          <w:p>
            <w:pPr>
              <w:spacing w:after="0" w:line="196" w:lineRule="exact"/>
              <w:rPr>
                <w:rFonts w:ascii="Arial" w:cs="Arial" w:eastAsia="Arial" w:hAnsi="Arial"/>
                <w:sz w:val="18"/>
                <w:szCs w:val="18"/>
                <w:color w:val="0000EE"/>
                <w:w w:val="99"/>
              </w:rPr>
            </w:pPr>
            <w:hyperlink r:id="rId123">
              <w:r>
                <w:rPr>
                  <w:rFonts w:ascii="Arial" w:cs="Arial" w:eastAsia="Arial" w:hAnsi="Arial"/>
                  <w:sz w:val="18"/>
                  <w:szCs w:val="18"/>
                  <w:color w:val="0000EE"/>
                  <w:w w:val="99"/>
                </w:rPr>
                <w:t>Partners (Exhibit 10.4 to Form 10-Q for the Fiscal Quarter Ended December 27, 2009)</w:t>
              </w:r>
            </w:hyperlink>
          </w:p>
        </w:tc>
        <w:tc>
          <w:tcPr>
            <w:tcW w:w="3120" w:type="dxa"/>
            <w:vAlign w:val="bottom"/>
            <w:gridSpan w:val="13"/>
          </w:tcPr>
          <w:p>
            <w:pPr>
              <w:spacing w:after="0"/>
              <w:rPr>
                <w:sz w:val="17"/>
                <w:szCs w:val="17"/>
                <w:color w:val="auto"/>
              </w:rPr>
            </w:pPr>
          </w:p>
        </w:tc>
      </w:tr>
      <w:tr>
        <w:trPr>
          <w:trHeight w:val="506"/>
        </w:trPr>
        <w:tc>
          <w:tcPr>
            <w:tcW w:w="1260" w:type="dxa"/>
            <w:vAlign w:val="bottom"/>
          </w:tcPr>
          <w:p>
            <w:pPr>
              <w:ind w:left="20"/>
              <w:spacing w:after="0"/>
              <w:rPr>
                <w:sz w:val="20"/>
                <w:szCs w:val="20"/>
                <w:color w:val="auto"/>
              </w:rPr>
            </w:pPr>
            <w:r>
              <w:rPr>
                <w:rFonts w:ascii="Arial" w:cs="Arial" w:eastAsia="Arial" w:hAnsi="Arial"/>
                <w:sz w:val="18"/>
                <w:szCs w:val="18"/>
                <w:color w:val="auto"/>
              </w:rPr>
              <w:t>10.11 *</w:t>
            </w:r>
          </w:p>
        </w:tc>
        <w:tc>
          <w:tcPr>
            <w:tcW w:w="9860" w:type="dxa"/>
            <w:vAlign w:val="bottom"/>
            <w:tcBorders>
              <w:bottom w:val="single" w:sz="8" w:color="0000EE"/>
            </w:tcBorders>
            <w:gridSpan w:val="17"/>
          </w:tcPr>
          <w:p>
            <w:pPr>
              <w:spacing w:after="0"/>
              <w:rPr>
                <w:rFonts w:ascii="Arial" w:cs="Arial" w:eastAsia="Arial" w:hAnsi="Arial"/>
                <w:sz w:val="18"/>
                <w:szCs w:val="18"/>
                <w:color w:val="0000EE"/>
                <w:w w:val="99"/>
              </w:rPr>
            </w:pPr>
            <w:hyperlink r:id="rId124">
              <w:r>
                <w:rPr>
                  <w:rFonts w:ascii="Arial" w:cs="Arial" w:eastAsia="Arial" w:hAnsi="Arial"/>
                  <w:sz w:val="18"/>
                  <w:szCs w:val="18"/>
                  <w:color w:val="0000EE"/>
                  <w:w w:val="99"/>
                </w:rPr>
                <w:t>License Agreement, dated as of May 1, 2000, by and between Pulitzer Inc. and St. Louis Post-Dispatch LLC (Exhibit 10.7 to</w:t>
              </w:r>
            </w:hyperlink>
          </w:p>
        </w:tc>
        <w:tc>
          <w:tcPr>
            <w:tcW w:w="120" w:type="dxa"/>
            <w:vAlign w:val="bottom"/>
            <w:gridSpan w:val="5"/>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4440" w:type="dxa"/>
            <w:vAlign w:val="bottom"/>
            <w:tcBorders>
              <w:bottom w:val="single" w:sz="8" w:color="0000EE"/>
            </w:tcBorders>
          </w:tcPr>
          <w:p>
            <w:pPr>
              <w:spacing w:after="0" w:line="196" w:lineRule="exact"/>
              <w:rPr>
                <w:rFonts w:ascii="Arial" w:cs="Arial" w:eastAsia="Arial" w:hAnsi="Arial"/>
                <w:sz w:val="18"/>
                <w:szCs w:val="18"/>
                <w:color w:val="0000EE"/>
                <w:w w:val="99"/>
              </w:rPr>
            </w:pPr>
            <w:hyperlink r:id="rId124">
              <w:r>
                <w:rPr>
                  <w:rFonts w:ascii="Arial" w:cs="Arial" w:eastAsia="Arial" w:hAnsi="Arial"/>
                  <w:sz w:val="18"/>
                  <w:szCs w:val="18"/>
                  <w:color w:val="0000EE"/>
                  <w:w w:val="99"/>
                </w:rPr>
                <w:t>Form 10-Q for the Fiscal Quarter Ended June 30, 2005)</w:t>
              </w:r>
            </w:hyperlink>
          </w:p>
        </w:tc>
        <w:tc>
          <w:tcPr>
            <w:tcW w:w="5540" w:type="dxa"/>
            <w:vAlign w:val="bottom"/>
            <w:gridSpan w:val="21"/>
          </w:tcPr>
          <w:p>
            <w:pPr>
              <w:spacing w:after="0"/>
              <w:rPr>
                <w:sz w:val="17"/>
                <w:szCs w:val="17"/>
                <w:color w:val="auto"/>
              </w:rPr>
            </w:pPr>
          </w:p>
        </w:tc>
      </w:tr>
      <w:tr>
        <w:trPr>
          <w:trHeight w:val="507"/>
        </w:trPr>
        <w:tc>
          <w:tcPr>
            <w:tcW w:w="1260" w:type="dxa"/>
            <w:vAlign w:val="bottom"/>
          </w:tcPr>
          <w:p>
            <w:pPr>
              <w:ind w:left="20"/>
              <w:spacing w:after="0"/>
              <w:rPr>
                <w:sz w:val="20"/>
                <w:szCs w:val="20"/>
                <w:color w:val="auto"/>
              </w:rPr>
            </w:pPr>
            <w:r>
              <w:rPr>
                <w:rFonts w:ascii="Arial" w:cs="Arial" w:eastAsia="Arial" w:hAnsi="Arial"/>
                <w:sz w:val="18"/>
                <w:szCs w:val="18"/>
                <w:color w:val="auto"/>
              </w:rPr>
              <w:t>10.12.1+ *</w:t>
            </w:r>
          </w:p>
        </w:tc>
        <w:tc>
          <w:tcPr>
            <w:tcW w:w="9980" w:type="dxa"/>
            <w:vAlign w:val="bottom"/>
            <w:gridSpan w:val="22"/>
          </w:tcPr>
          <w:p>
            <w:pPr>
              <w:spacing w:after="0"/>
              <w:rPr>
                <w:rFonts w:ascii="Arial" w:cs="Arial" w:eastAsia="Arial" w:hAnsi="Arial"/>
                <w:sz w:val="18"/>
                <w:szCs w:val="18"/>
                <w:color w:val="0000EE"/>
              </w:rPr>
            </w:pPr>
            <w:hyperlink r:id="rId125">
              <w:r>
                <w:rPr>
                  <w:rFonts w:ascii="Arial" w:cs="Arial" w:eastAsia="Arial" w:hAnsi="Arial"/>
                  <w:sz w:val="18"/>
                  <w:szCs w:val="18"/>
                  <w:color w:val="0000EE"/>
                </w:rPr>
                <w:t>Lee Enterprises, Incorporated 2020 Long-Term Incentive Plan (effective February 19, 2020) (Exhibit 4.2 to Registration</w:t>
              </w:r>
            </w:hyperlink>
          </w:p>
        </w:tc>
      </w:tr>
      <w:tr>
        <w:trPr>
          <w:trHeight w:val="196"/>
        </w:trPr>
        <w:tc>
          <w:tcPr>
            <w:tcW w:w="1260" w:type="dxa"/>
            <w:vAlign w:val="bottom"/>
          </w:tcPr>
          <w:p>
            <w:pPr>
              <w:spacing w:after="0"/>
              <w:rPr>
                <w:sz w:val="17"/>
                <w:szCs w:val="17"/>
                <w:color w:val="auto"/>
              </w:rPr>
            </w:pPr>
          </w:p>
        </w:tc>
        <w:tc>
          <w:tcPr>
            <w:tcW w:w="99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Statement on Form S-8 (Reference No. 333-237605) filed on April 8, 2020)</w:t>
              </w:r>
            </w:hyperlink>
          </w:p>
        </w:tc>
        <w:tc>
          <w:tcPr>
            <w:tcW w:w="40" w:type="dxa"/>
            <w:vAlign w:val="bottom"/>
            <w:gridSpan w:val="2"/>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46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07"/>
        </w:trPr>
        <w:tc>
          <w:tcPr>
            <w:tcW w:w="1260" w:type="dxa"/>
            <w:vAlign w:val="bottom"/>
          </w:tcPr>
          <w:p>
            <w:pPr>
              <w:ind w:left="20"/>
              <w:spacing w:after="0"/>
              <w:rPr>
                <w:sz w:val="20"/>
                <w:szCs w:val="20"/>
                <w:color w:val="auto"/>
              </w:rPr>
            </w:pPr>
            <w:r>
              <w:rPr>
                <w:rFonts w:ascii="Arial" w:cs="Arial" w:eastAsia="Arial" w:hAnsi="Arial"/>
                <w:sz w:val="18"/>
                <w:szCs w:val="18"/>
                <w:color w:val="auto"/>
              </w:rPr>
              <w:t>10.12.2+*</w:t>
            </w:r>
          </w:p>
        </w:tc>
        <w:tc>
          <w:tcPr>
            <w:tcW w:w="9980" w:type="dxa"/>
            <w:vAlign w:val="bottom"/>
            <w:tcBorders>
              <w:bottom w:val="single" w:sz="8" w:color="0000EE"/>
            </w:tcBorders>
            <w:gridSpan w:val="22"/>
          </w:tcPr>
          <w:p>
            <w:pPr>
              <w:spacing w:after="0"/>
              <w:rPr>
                <w:rFonts w:ascii="Arial" w:cs="Arial" w:eastAsia="Arial" w:hAnsi="Arial"/>
                <w:sz w:val="18"/>
                <w:szCs w:val="18"/>
                <w:color w:val="0000EE"/>
              </w:rPr>
            </w:pPr>
            <w:hyperlink r:id="rId126">
              <w:r>
                <w:rPr>
                  <w:rFonts w:ascii="Arial" w:cs="Arial" w:eastAsia="Arial" w:hAnsi="Arial"/>
                  <w:sz w:val="18"/>
                  <w:szCs w:val="18"/>
                  <w:color w:val="0000EE"/>
                </w:rPr>
                <w:t>Form of Restricted Stock Agreement related to Lee Enterprises, Incorporated 2020 Long-Term Incentive Plan (Effective</w:t>
              </w:r>
            </w:hyperlink>
          </w:p>
        </w:tc>
      </w:tr>
      <w:tr>
        <w:trPr>
          <w:trHeight w:val="196"/>
        </w:trPr>
        <w:tc>
          <w:tcPr>
            <w:tcW w:w="1260" w:type="dxa"/>
            <w:vAlign w:val="bottom"/>
          </w:tcPr>
          <w:p>
            <w:pPr>
              <w:spacing w:after="0"/>
              <w:rPr>
                <w:sz w:val="17"/>
                <w:szCs w:val="17"/>
                <w:color w:val="auto"/>
              </w:rPr>
            </w:pPr>
          </w:p>
        </w:tc>
        <w:tc>
          <w:tcPr>
            <w:tcW w:w="5800" w:type="dxa"/>
            <w:vAlign w:val="bottom"/>
            <w:tcBorders>
              <w:bottom w:val="single" w:sz="8" w:color="0000EE"/>
            </w:tcBorders>
            <w:gridSpan w:val="6"/>
          </w:tcPr>
          <w:p>
            <w:pPr>
              <w:spacing w:after="0" w:line="196" w:lineRule="exact"/>
              <w:rPr>
                <w:rFonts w:ascii="Arial" w:cs="Arial" w:eastAsia="Arial" w:hAnsi="Arial"/>
                <w:sz w:val="18"/>
                <w:szCs w:val="18"/>
                <w:color w:val="0000EE"/>
                <w:w w:val="99"/>
              </w:rPr>
            </w:pPr>
            <w:hyperlink r:id="rId126">
              <w:r>
                <w:rPr>
                  <w:rFonts w:ascii="Arial" w:cs="Arial" w:eastAsia="Arial" w:hAnsi="Arial"/>
                  <w:sz w:val="18"/>
                  <w:szCs w:val="18"/>
                  <w:color w:val="0000EE"/>
                  <w:w w:val="99"/>
                </w:rPr>
                <w:t>February 19, 2020) (Exhibit 10.2 to Form 8-K filed on February 23, 2016)</w:t>
              </w:r>
            </w:hyperlink>
          </w:p>
        </w:tc>
        <w:tc>
          <w:tcPr>
            <w:tcW w:w="4180" w:type="dxa"/>
            <w:vAlign w:val="bottom"/>
            <w:gridSpan w:val="16"/>
          </w:tcPr>
          <w:p>
            <w:pPr>
              <w:spacing w:after="0"/>
              <w:rPr>
                <w:sz w:val="17"/>
                <w:szCs w:val="17"/>
                <w:color w:val="auto"/>
              </w:rPr>
            </w:pPr>
          </w:p>
        </w:tc>
      </w:tr>
      <w:tr>
        <w:trPr>
          <w:trHeight w:val="507"/>
        </w:trPr>
        <w:tc>
          <w:tcPr>
            <w:tcW w:w="1260" w:type="dxa"/>
            <w:vAlign w:val="bottom"/>
          </w:tcPr>
          <w:p>
            <w:pPr>
              <w:ind w:left="20"/>
              <w:spacing w:after="0"/>
              <w:rPr>
                <w:sz w:val="20"/>
                <w:szCs w:val="20"/>
                <w:color w:val="auto"/>
              </w:rPr>
            </w:pPr>
            <w:r>
              <w:rPr>
                <w:rFonts w:ascii="Arial" w:cs="Arial" w:eastAsia="Arial" w:hAnsi="Arial"/>
                <w:sz w:val="18"/>
                <w:szCs w:val="18"/>
                <w:color w:val="auto"/>
              </w:rPr>
              <w:t>10.12.3+ *</w:t>
            </w:r>
          </w:p>
        </w:tc>
        <w:tc>
          <w:tcPr>
            <w:tcW w:w="9980" w:type="dxa"/>
            <w:vAlign w:val="bottom"/>
            <w:gridSpan w:val="22"/>
          </w:tcPr>
          <w:p>
            <w:pPr>
              <w:spacing w:after="0"/>
              <w:rPr>
                <w:rFonts w:ascii="Arial" w:cs="Arial" w:eastAsia="Arial" w:hAnsi="Arial"/>
                <w:sz w:val="18"/>
                <w:szCs w:val="18"/>
                <w:color w:val="0000EE"/>
              </w:rPr>
            </w:pPr>
            <w:hyperlink r:id="rId127">
              <w:r>
                <w:rPr>
                  <w:rFonts w:ascii="Arial" w:cs="Arial" w:eastAsia="Arial" w:hAnsi="Arial"/>
                  <w:sz w:val="18"/>
                  <w:szCs w:val="18"/>
                  <w:color w:val="0000EE"/>
                </w:rPr>
                <w:t>Form of Incentive Stock Option Agreement related to Lee Enterprises, Incorporated 2020 Long-Term Incentive Plan</w:t>
              </w:r>
            </w:hyperlink>
          </w:p>
        </w:tc>
      </w:tr>
      <w:tr>
        <w:trPr>
          <w:trHeight w:val="196"/>
        </w:trPr>
        <w:tc>
          <w:tcPr>
            <w:tcW w:w="1260" w:type="dxa"/>
            <w:vAlign w:val="bottom"/>
          </w:tcPr>
          <w:p>
            <w:pPr>
              <w:spacing w:after="0"/>
              <w:rPr>
                <w:sz w:val="17"/>
                <w:szCs w:val="17"/>
                <w:color w:val="auto"/>
              </w:rPr>
            </w:pPr>
          </w:p>
        </w:tc>
        <w:tc>
          <w:tcPr>
            <w:tcW w:w="66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9"/>
              </w:rPr>
            </w:pPr>
            <w:hyperlink r:id="rId127">
              <w:r>
                <w:rPr>
                  <w:rFonts w:ascii="Arial" w:cs="Arial" w:eastAsia="Arial" w:hAnsi="Arial"/>
                  <w:sz w:val="18"/>
                  <w:szCs w:val="18"/>
                  <w:color w:val="0000EE"/>
                  <w:w w:val="99"/>
                </w:rPr>
                <w:t>(Effective February 19, 2020) (Exhibit 10.3 to Form 8-K filed on February 23, 2016)</w:t>
              </w:r>
            </w:hyperlink>
          </w:p>
        </w:tc>
        <w:tc>
          <w:tcPr>
            <w:tcW w:w="2560" w:type="dxa"/>
            <w:vAlign w:val="bottom"/>
            <w:tcBorders>
              <w:top w:val="single" w:sz="8" w:color="0000EE"/>
            </w:tcBorders>
            <w:gridSpan w:val="3"/>
          </w:tcPr>
          <w:p>
            <w:pPr>
              <w:spacing w:after="0"/>
              <w:rPr>
                <w:sz w:val="17"/>
                <w:szCs w:val="17"/>
                <w:color w:val="auto"/>
              </w:rPr>
            </w:pPr>
          </w:p>
        </w:tc>
        <w:tc>
          <w:tcPr>
            <w:tcW w:w="820" w:type="dxa"/>
            <w:vAlign w:val="bottom"/>
            <w:gridSpan w:val="11"/>
          </w:tcPr>
          <w:p>
            <w:pPr>
              <w:spacing w:after="0"/>
              <w:rPr>
                <w:sz w:val="17"/>
                <w:szCs w:val="17"/>
                <w:color w:val="auto"/>
              </w:rPr>
            </w:pPr>
          </w:p>
        </w:tc>
      </w:tr>
      <w:tr>
        <w:trPr>
          <w:trHeight w:val="507"/>
        </w:trPr>
        <w:tc>
          <w:tcPr>
            <w:tcW w:w="1260" w:type="dxa"/>
            <w:vAlign w:val="bottom"/>
          </w:tcPr>
          <w:p>
            <w:pPr>
              <w:ind w:left="20"/>
              <w:spacing w:after="0"/>
              <w:rPr>
                <w:sz w:val="20"/>
                <w:szCs w:val="20"/>
                <w:color w:val="auto"/>
              </w:rPr>
            </w:pPr>
            <w:r>
              <w:rPr>
                <w:rFonts w:ascii="Arial" w:cs="Arial" w:eastAsia="Arial" w:hAnsi="Arial"/>
                <w:sz w:val="18"/>
                <w:szCs w:val="18"/>
                <w:color w:val="auto"/>
              </w:rPr>
              <w:t>10.12.4+ *</w:t>
            </w:r>
          </w:p>
        </w:tc>
        <w:tc>
          <w:tcPr>
            <w:tcW w:w="9980" w:type="dxa"/>
            <w:vAlign w:val="bottom"/>
            <w:gridSpan w:val="22"/>
          </w:tcPr>
          <w:p>
            <w:pPr>
              <w:spacing w:after="0"/>
              <w:rPr>
                <w:rFonts w:ascii="Arial" w:cs="Arial" w:eastAsia="Arial" w:hAnsi="Arial"/>
                <w:sz w:val="18"/>
                <w:szCs w:val="18"/>
                <w:color w:val="0000EE"/>
              </w:rPr>
            </w:pPr>
            <w:hyperlink r:id="rId128">
              <w:r>
                <w:rPr>
                  <w:rFonts w:ascii="Arial" w:cs="Arial" w:eastAsia="Arial" w:hAnsi="Arial"/>
                  <w:sz w:val="18"/>
                  <w:szCs w:val="18"/>
                  <w:color w:val="0000EE"/>
                </w:rPr>
                <w:t>Form of Non-Qualified Stock Option Agreement related to Lee Enterprises, Incorporated 2020 Long-Term Incentive Plan</w:t>
              </w:r>
            </w:hyperlink>
          </w:p>
        </w:tc>
      </w:tr>
      <w:tr>
        <w:trPr>
          <w:trHeight w:val="196"/>
        </w:trPr>
        <w:tc>
          <w:tcPr>
            <w:tcW w:w="1260" w:type="dxa"/>
            <w:vAlign w:val="bottom"/>
          </w:tcPr>
          <w:p>
            <w:pPr>
              <w:spacing w:after="0"/>
              <w:rPr>
                <w:sz w:val="17"/>
                <w:szCs w:val="17"/>
                <w:color w:val="auto"/>
              </w:rPr>
            </w:pPr>
          </w:p>
        </w:tc>
        <w:tc>
          <w:tcPr>
            <w:tcW w:w="66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9"/>
              </w:rPr>
            </w:pPr>
            <w:hyperlink r:id="rId128">
              <w:r>
                <w:rPr>
                  <w:rFonts w:ascii="Arial" w:cs="Arial" w:eastAsia="Arial" w:hAnsi="Arial"/>
                  <w:sz w:val="18"/>
                  <w:szCs w:val="18"/>
                  <w:color w:val="0000EE"/>
                  <w:w w:val="99"/>
                </w:rPr>
                <w:t>(Effective February 19, 2020) (Exhibit 10.4 to Form 8-K filed on February 23, 2016)</w:t>
              </w:r>
            </w:hyperlink>
          </w:p>
        </w:tc>
        <w:tc>
          <w:tcPr>
            <w:tcW w:w="2940" w:type="dxa"/>
            <w:vAlign w:val="bottom"/>
            <w:tcBorders>
              <w:top w:val="single" w:sz="8" w:color="0000EE"/>
            </w:tcBorders>
            <w:gridSpan w:val="5"/>
          </w:tcPr>
          <w:p>
            <w:pPr>
              <w:spacing w:after="0"/>
              <w:rPr>
                <w:sz w:val="17"/>
                <w:szCs w:val="17"/>
                <w:color w:val="auto"/>
              </w:rPr>
            </w:pPr>
          </w:p>
        </w:tc>
        <w:tc>
          <w:tcPr>
            <w:tcW w:w="440" w:type="dxa"/>
            <w:vAlign w:val="bottom"/>
            <w:gridSpan w:val="9"/>
          </w:tcPr>
          <w:p>
            <w:pPr>
              <w:spacing w:after="0"/>
              <w:rPr>
                <w:sz w:val="17"/>
                <w:szCs w:val="17"/>
                <w:color w:val="auto"/>
              </w:rPr>
            </w:pPr>
          </w:p>
        </w:tc>
      </w:tr>
      <w:tr>
        <w:trPr>
          <w:trHeight w:val="507"/>
        </w:trPr>
        <w:tc>
          <w:tcPr>
            <w:tcW w:w="1260" w:type="dxa"/>
            <w:vAlign w:val="bottom"/>
          </w:tcPr>
          <w:p>
            <w:pPr>
              <w:ind w:left="20"/>
              <w:spacing w:after="0"/>
              <w:rPr>
                <w:sz w:val="20"/>
                <w:szCs w:val="20"/>
                <w:color w:val="auto"/>
              </w:rPr>
            </w:pPr>
            <w:r>
              <w:rPr>
                <w:rFonts w:ascii="Arial" w:cs="Arial" w:eastAsia="Arial" w:hAnsi="Arial"/>
                <w:sz w:val="18"/>
                <w:szCs w:val="18"/>
                <w:color w:val="auto"/>
              </w:rPr>
              <w:t>10.13 +*</w:t>
            </w:r>
          </w:p>
        </w:tc>
        <w:tc>
          <w:tcPr>
            <w:tcW w:w="9980" w:type="dxa"/>
            <w:vAlign w:val="bottom"/>
            <w:gridSpan w:val="22"/>
          </w:tcPr>
          <w:p>
            <w:pPr>
              <w:spacing w:after="0"/>
              <w:rPr>
                <w:rFonts w:ascii="Arial" w:cs="Arial" w:eastAsia="Arial" w:hAnsi="Arial"/>
                <w:sz w:val="18"/>
                <w:szCs w:val="18"/>
                <w:color w:val="0000EE"/>
              </w:rPr>
            </w:pPr>
            <w:hyperlink r:id="rId129">
              <w:r>
                <w:rPr>
                  <w:rFonts w:ascii="Arial" w:cs="Arial" w:eastAsia="Arial" w:hAnsi="Arial"/>
                  <w:sz w:val="18"/>
                  <w:szCs w:val="18"/>
                  <w:color w:val="0000EE"/>
                </w:rPr>
                <w:t>Lee Enterprises, Incorporated Supplementary Benefit Plan, Amended and Restated as of January 1, 2008 (Exhibit 10.25 to</w:t>
              </w:r>
            </w:hyperlink>
          </w:p>
        </w:tc>
      </w:tr>
      <w:tr>
        <w:trPr>
          <w:trHeight w:val="196"/>
        </w:trPr>
        <w:tc>
          <w:tcPr>
            <w:tcW w:w="1260" w:type="dxa"/>
            <w:vAlign w:val="bottom"/>
          </w:tcPr>
          <w:p>
            <w:pPr>
              <w:spacing w:after="0"/>
              <w:rPr>
                <w:sz w:val="17"/>
                <w:szCs w:val="17"/>
                <w:color w:val="auto"/>
              </w:rPr>
            </w:pPr>
          </w:p>
        </w:tc>
        <w:tc>
          <w:tcPr>
            <w:tcW w:w="97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Form 10-K for the Fiscal Year Ended September 28, 2008)</w:t>
              </w:r>
            </w:hyperlink>
          </w:p>
        </w:tc>
        <w:tc>
          <w:tcPr>
            <w:tcW w:w="200" w:type="dxa"/>
            <w:vAlign w:val="bottom"/>
            <w:gridSpan w:val="8"/>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46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07"/>
        </w:trPr>
        <w:tc>
          <w:tcPr>
            <w:tcW w:w="1260" w:type="dxa"/>
            <w:vAlign w:val="bottom"/>
          </w:tcPr>
          <w:p>
            <w:pPr>
              <w:ind w:left="20"/>
              <w:spacing w:after="0"/>
              <w:rPr>
                <w:sz w:val="20"/>
                <w:szCs w:val="20"/>
                <w:color w:val="auto"/>
              </w:rPr>
            </w:pPr>
            <w:r>
              <w:rPr>
                <w:rFonts w:ascii="Arial" w:cs="Arial" w:eastAsia="Arial" w:hAnsi="Arial"/>
                <w:sz w:val="18"/>
                <w:szCs w:val="18"/>
                <w:color w:val="auto"/>
              </w:rPr>
              <w:t>10.14+ *</w:t>
            </w:r>
          </w:p>
        </w:tc>
        <w:tc>
          <w:tcPr>
            <w:tcW w:w="9840" w:type="dxa"/>
            <w:vAlign w:val="bottom"/>
            <w:tcBorders>
              <w:bottom w:val="single" w:sz="8" w:color="0000EE"/>
            </w:tcBorders>
            <w:gridSpan w:val="16"/>
          </w:tcPr>
          <w:p>
            <w:pPr>
              <w:spacing w:after="0"/>
              <w:rPr>
                <w:rFonts w:ascii="Arial" w:cs="Arial" w:eastAsia="Arial" w:hAnsi="Arial"/>
                <w:sz w:val="18"/>
                <w:szCs w:val="18"/>
                <w:color w:val="0000EE"/>
                <w:w w:val="99"/>
              </w:rPr>
            </w:pPr>
            <w:hyperlink r:id="rId130">
              <w:r>
                <w:rPr>
                  <w:rFonts w:ascii="Arial" w:cs="Arial" w:eastAsia="Arial" w:hAnsi="Arial"/>
                  <w:sz w:val="18"/>
                  <w:szCs w:val="18"/>
                  <w:color w:val="0000EE"/>
                  <w:w w:val="99"/>
                </w:rPr>
                <w:t>Lee Enterprises, Incorporated Outside Directors Deferral Plan, Amended and Restated as of January 1, 2008 (Exhibit 10.26</w:t>
              </w:r>
            </w:hyperlink>
          </w:p>
        </w:tc>
        <w:tc>
          <w:tcPr>
            <w:tcW w:w="140" w:type="dxa"/>
            <w:vAlign w:val="bottom"/>
            <w:gridSpan w:val="6"/>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980" w:type="dxa"/>
            <w:vAlign w:val="bottom"/>
            <w:gridSpan w:val="22"/>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to Form 10-K for the Fiscal Year Ended September 28, 2008)</w:t>
              </w:r>
            </w:hyperlink>
          </w:p>
        </w:tc>
      </w:tr>
      <w:tr>
        <w:trPr>
          <w:trHeight w:val="20"/>
        </w:trPr>
        <w:tc>
          <w:tcPr>
            <w:tcW w:w="1260" w:type="dxa"/>
            <w:vAlign w:val="bottom"/>
          </w:tcPr>
          <w:p>
            <w:pPr>
              <w:spacing w:after="0" w:line="20" w:lineRule="exact"/>
              <w:rPr>
                <w:sz w:val="1"/>
                <w:szCs w:val="1"/>
                <w:color w:val="auto"/>
              </w:rPr>
            </w:pPr>
          </w:p>
        </w:tc>
        <w:tc>
          <w:tcPr>
            <w:tcW w:w="46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07"/>
        </w:trPr>
        <w:tc>
          <w:tcPr>
            <w:tcW w:w="1260" w:type="dxa"/>
            <w:vAlign w:val="bottom"/>
          </w:tcPr>
          <w:p>
            <w:pPr>
              <w:ind w:left="20"/>
              <w:spacing w:after="0"/>
              <w:rPr>
                <w:sz w:val="20"/>
                <w:szCs w:val="20"/>
                <w:color w:val="auto"/>
              </w:rPr>
            </w:pPr>
            <w:r>
              <w:rPr>
                <w:rFonts w:ascii="Arial" w:cs="Arial" w:eastAsia="Arial" w:hAnsi="Arial"/>
                <w:sz w:val="18"/>
                <w:szCs w:val="18"/>
                <w:color w:val="auto"/>
              </w:rPr>
              <w:t>10.15.1+*</w:t>
            </w:r>
          </w:p>
        </w:tc>
        <w:tc>
          <w:tcPr>
            <w:tcW w:w="9980" w:type="dxa"/>
            <w:vAlign w:val="bottom"/>
            <w:gridSpan w:val="22"/>
          </w:tcPr>
          <w:p>
            <w:pPr>
              <w:spacing w:after="0"/>
              <w:rPr>
                <w:rFonts w:ascii="Arial" w:cs="Arial" w:eastAsia="Arial" w:hAnsi="Arial"/>
                <w:sz w:val="18"/>
                <w:szCs w:val="18"/>
                <w:color w:val="0000EE"/>
              </w:rPr>
            </w:pPr>
            <w:hyperlink r:id="rId131">
              <w:r>
                <w:rPr>
                  <w:rFonts w:ascii="Arial" w:cs="Arial" w:eastAsia="Arial" w:hAnsi="Arial"/>
                  <w:sz w:val="18"/>
                  <w:szCs w:val="18"/>
                  <w:color w:val="0000EE"/>
                </w:rPr>
                <w:t>Form of Amended and Restated Employment Agreement between Lee Enterprises, Incorporated and its President and Chief</w:t>
              </w:r>
            </w:hyperlink>
          </w:p>
        </w:tc>
      </w:tr>
      <w:tr>
        <w:trPr>
          <w:trHeight w:val="196"/>
        </w:trPr>
        <w:tc>
          <w:tcPr>
            <w:tcW w:w="1260" w:type="dxa"/>
            <w:vAlign w:val="bottom"/>
          </w:tcPr>
          <w:p>
            <w:pPr>
              <w:spacing w:after="0"/>
              <w:rPr>
                <w:sz w:val="17"/>
                <w:szCs w:val="17"/>
                <w:color w:val="auto"/>
              </w:rPr>
            </w:pPr>
          </w:p>
        </w:tc>
        <w:tc>
          <w:tcPr>
            <w:tcW w:w="99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Executive Officer (Exhibit 10.31.2 to Form 10-K for the Fiscal Year Ended September 30, 2018)</w:t>
              </w:r>
            </w:hyperlink>
          </w:p>
        </w:tc>
        <w:tc>
          <w:tcPr>
            <w:tcW w:w="80" w:type="dxa"/>
            <w:vAlign w:val="bottom"/>
            <w:gridSpan w:val="3"/>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4640" w:type="dxa"/>
            <w:vAlign w:val="bottom"/>
            <w:gridSpan w:val="2"/>
            <w:shd w:val="clear" w:color="auto" w:fill="0000EE"/>
          </w:tcPr>
          <w:p>
            <w:pPr>
              <w:spacing w:after="0" w:line="20" w:lineRule="exact"/>
              <w:rPr>
                <w:sz w:val="1"/>
                <w:szCs w:val="1"/>
                <w:color w:val="auto"/>
              </w:rPr>
            </w:pPr>
          </w:p>
        </w:tc>
        <w:tc>
          <w:tcPr>
            <w:tcW w:w="66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40" w:type="dxa"/>
            <w:vAlign w:val="bottom"/>
            <w:gridSpan w:val="5"/>
            <w:shd w:val="clear" w:color="auto" w:fill="0000EE"/>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06"/>
        </w:trPr>
        <w:tc>
          <w:tcPr>
            <w:tcW w:w="1260" w:type="dxa"/>
            <w:vAlign w:val="bottom"/>
          </w:tcPr>
          <w:p>
            <w:pPr>
              <w:ind w:left="20"/>
              <w:spacing w:after="0"/>
              <w:rPr>
                <w:sz w:val="20"/>
                <w:szCs w:val="20"/>
                <w:color w:val="auto"/>
              </w:rPr>
            </w:pPr>
            <w:r>
              <w:rPr>
                <w:rFonts w:ascii="Arial" w:cs="Arial" w:eastAsia="Arial" w:hAnsi="Arial"/>
                <w:sz w:val="18"/>
                <w:szCs w:val="18"/>
                <w:color w:val="auto"/>
              </w:rPr>
              <w:t>10.15.2+*</w:t>
            </w:r>
          </w:p>
        </w:tc>
        <w:tc>
          <w:tcPr>
            <w:tcW w:w="9980" w:type="dxa"/>
            <w:vAlign w:val="bottom"/>
            <w:gridSpan w:val="22"/>
          </w:tcPr>
          <w:p>
            <w:pPr>
              <w:spacing w:after="0"/>
              <w:rPr>
                <w:rFonts w:ascii="Arial" w:cs="Arial" w:eastAsia="Arial" w:hAnsi="Arial"/>
                <w:sz w:val="18"/>
                <w:szCs w:val="18"/>
                <w:color w:val="0000EE"/>
              </w:rPr>
            </w:pPr>
            <w:hyperlink r:id="rId132">
              <w:r>
                <w:rPr>
                  <w:rFonts w:ascii="Arial" w:cs="Arial" w:eastAsia="Arial" w:hAnsi="Arial"/>
                  <w:sz w:val="18"/>
                  <w:szCs w:val="18"/>
                  <w:color w:val="0000EE"/>
                </w:rPr>
                <w:t>Form of Employment Agreement between Lee Enterprises, Incorporated and Certain of its Senior Executive Officers (Exhibit</w:t>
              </w:r>
            </w:hyperlink>
          </w:p>
        </w:tc>
      </w:tr>
      <w:tr>
        <w:trPr>
          <w:trHeight w:val="196"/>
        </w:trPr>
        <w:tc>
          <w:tcPr>
            <w:tcW w:w="1260" w:type="dxa"/>
            <w:vAlign w:val="bottom"/>
          </w:tcPr>
          <w:p>
            <w:pPr>
              <w:spacing w:after="0"/>
              <w:rPr>
                <w:sz w:val="17"/>
                <w:szCs w:val="17"/>
                <w:color w:val="auto"/>
              </w:rPr>
            </w:pPr>
          </w:p>
        </w:tc>
        <w:tc>
          <w:tcPr>
            <w:tcW w:w="55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9"/>
              </w:rPr>
            </w:pPr>
            <w:hyperlink r:id="rId132">
              <w:r>
                <w:rPr>
                  <w:rFonts w:ascii="Arial" w:cs="Arial" w:eastAsia="Arial" w:hAnsi="Arial"/>
                  <w:sz w:val="18"/>
                  <w:szCs w:val="18"/>
                  <w:color w:val="0000EE"/>
                  <w:w w:val="99"/>
                </w:rPr>
                <w:t>10.</w:t>
              </w:r>
              <w:r>
                <w:rPr>
                  <w:rFonts w:ascii="Arial" w:cs="Arial" w:eastAsia="Arial" w:hAnsi="Arial"/>
                  <w:sz w:val="18"/>
                  <w:szCs w:val="18"/>
                  <w:u w:val="single" w:color="auto"/>
                  <w:color w:val="0000EE"/>
                  <w:w w:val="99"/>
                </w:rPr>
                <w:t>31.3</w:t>
              </w:r>
              <w:r>
                <w:rPr>
                  <w:rFonts w:ascii="Arial" w:cs="Arial" w:eastAsia="Arial" w:hAnsi="Arial"/>
                  <w:sz w:val="18"/>
                  <w:szCs w:val="18"/>
                  <w:color w:val="0000EE"/>
                  <w:w w:val="99"/>
                </w:rPr>
                <w:t xml:space="preserve"> to Form 10-K for the Fiscal Year Ended September 30, 2018)</w:t>
              </w:r>
            </w:hyperlink>
          </w:p>
        </w:tc>
        <w:tc>
          <w:tcPr>
            <w:tcW w:w="4360" w:type="dxa"/>
            <w:vAlign w:val="bottom"/>
            <w:tcBorders>
              <w:top w:val="single" w:sz="8" w:color="0000EE"/>
            </w:tcBorders>
            <w:gridSpan w:val="13"/>
          </w:tcPr>
          <w:p>
            <w:pPr>
              <w:spacing w:after="0"/>
              <w:rPr>
                <w:sz w:val="17"/>
                <w:szCs w:val="17"/>
                <w:color w:val="auto"/>
              </w:rPr>
            </w:pPr>
          </w:p>
        </w:tc>
        <w:tc>
          <w:tcPr>
            <w:tcW w:w="100" w:type="dxa"/>
            <w:vAlign w:val="bottom"/>
            <w:gridSpan w:val="4"/>
          </w:tcPr>
          <w:p>
            <w:pPr>
              <w:spacing w:after="0"/>
              <w:rPr>
                <w:sz w:val="17"/>
                <w:szCs w:val="17"/>
                <w:color w:val="auto"/>
              </w:rPr>
            </w:pPr>
          </w:p>
        </w:tc>
      </w:tr>
      <w:tr>
        <w:trPr>
          <w:trHeight w:val="506"/>
        </w:trPr>
        <w:tc>
          <w:tcPr>
            <w:tcW w:w="1260" w:type="dxa"/>
            <w:vAlign w:val="bottom"/>
          </w:tcPr>
          <w:p>
            <w:pPr>
              <w:ind w:left="20"/>
              <w:spacing w:after="0"/>
              <w:rPr>
                <w:sz w:val="20"/>
                <w:szCs w:val="20"/>
                <w:color w:val="auto"/>
              </w:rPr>
            </w:pPr>
            <w:r>
              <w:rPr>
                <w:rFonts w:ascii="Arial" w:cs="Arial" w:eastAsia="Arial" w:hAnsi="Arial"/>
                <w:sz w:val="18"/>
                <w:szCs w:val="18"/>
                <w:color w:val="auto"/>
              </w:rPr>
              <w:t>10.16+*</w:t>
            </w:r>
          </w:p>
        </w:tc>
        <w:tc>
          <w:tcPr>
            <w:tcW w:w="9820" w:type="dxa"/>
            <w:vAlign w:val="bottom"/>
            <w:tcBorders>
              <w:bottom w:val="single" w:sz="8" w:color="0000EE"/>
            </w:tcBorders>
            <w:gridSpan w:val="15"/>
          </w:tcPr>
          <w:p>
            <w:pPr>
              <w:spacing w:after="0"/>
              <w:rPr>
                <w:rFonts w:ascii="Arial" w:cs="Arial" w:eastAsia="Arial" w:hAnsi="Arial"/>
                <w:sz w:val="18"/>
                <w:szCs w:val="18"/>
                <w:color w:val="0000EE"/>
                <w:w w:val="99"/>
              </w:rPr>
            </w:pPr>
            <w:hyperlink r:id="rId133">
              <w:r>
                <w:rPr>
                  <w:rFonts w:ascii="Arial" w:cs="Arial" w:eastAsia="Arial" w:hAnsi="Arial"/>
                  <w:sz w:val="18"/>
                  <w:szCs w:val="18"/>
                  <w:color w:val="0000EE"/>
                  <w:w w:val="99"/>
                </w:rPr>
                <w:t>Form of Indemnification Agreement for Lee Enterprises, Incorporated Directors and Executive Officers Group (Exhibit 10.32</w:t>
              </w:r>
            </w:hyperlink>
          </w:p>
        </w:tc>
        <w:tc>
          <w:tcPr>
            <w:tcW w:w="160" w:type="dxa"/>
            <w:vAlign w:val="bottom"/>
            <w:gridSpan w:val="7"/>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980" w:type="dxa"/>
            <w:vAlign w:val="bottom"/>
            <w:gridSpan w:val="22"/>
          </w:tcPr>
          <w:p>
            <w:pPr>
              <w:spacing w:after="0" w:line="196" w:lineRule="exact"/>
              <w:rPr>
                <w:rFonts w:ascii="Arial" w:cs="Arial" w:eastAsia="Arial" w:hAnsi="Arial"/>
                <w:sz w:val="18"/>
                <w:szCs w:val="18"/>
                <w:color w:val="0000EE"/>
              </w:rPr>
            </w:pPr>
            <w:hyperlink r:id="rId133">
              <w:r>
                <w:rPr>
                  <w:rFonts w:ascii="Arial" w:cs="Arial" w:eastAsia="Arial" w:hAnsi="Arial"/>
                  <w:sz w:val="18"/>
                  <w:szCs w:val="18"/>
                  <w:color w:val="0000EE"/>
                </w:rPr>
                <w:t>to Form 10-K for the Fiscal Year Ended September 30, 2018)</w:t>
              </w:r>
            </w:hyperlink>
          </w:p>
        </w:tc>
      </w:tr>
      <w:tr>
        <w:trPr>
          <w:trHeight w:val="20"/>
        </w:trPr>
        <w:tc>
          <w:tcPr>
            <w:tcW w:w="1260" w:type="dxa"/>
            <w:vAlign w:val="bottom"/>
          </w:tcPr>
          <w:p>
            <w:pPr>
              <w:spacing w:after="0" w:line="20" w:lineRule="exact"/>
              <w:rPr>
                <w:sz w:val="1"/>
                <w:szCs w:val="1"/>
                <w:color w:val="auto"/>
              </w:rPr>
            </w:pPr>
          </w:p>
        </w:tc>
        <w:tc>
          <w:tcPr>
            <w:tcW w:w="46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120" w:type="dxa"/>
            <w:vAlign w:val="bottom"/>
            <w:gridSpan w:val="8"/>
          </w:tcPr>
          <w:p>
            <w:pPr>
              <w:spacing w:after="0" w:line="20" w:lineRule="exact"/>
              <w:rPr>
                <w:sz w:val="1"/>
                <w:szCs w:val="1"/>
                <w:color w:val="auto"/>
              </w:rPr>
            </w:pPr>
          </w:p>
        </w:tc>
        <w:tc>
          <w:tcPr>
            <w:tcW w:w="5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06"/>
        </w:trPr>
        <w:tc>
          <w:tcPr>
            <w:tcW w:w="1260" w:type="dxa"/>
            <w:vAlign w:val="bottom"/>
          </w:tcPr>
          <w:p>
            <w:pPr>
              <w:ind w:left="20"/>
              <w:spacing w:after="0"/>
              <w:rPr>
                <w:sz w:val="20"/>
                <w:szCs w:val="20"/>
                <w:color w:val="auto"/>
              </w:rPr>
            </w:pPr>
            <w:r>
              <w:rPr>
                <w:rFonts w:ascii="Arial" w:cs="Arial" w:eastAsia="Arial" w:hAnsi="Arial"/>
                <w:sz w:val="18"/>
                <w:szCs w:val="18"/>
                <w:color w:val="auto"/>
              </w:rPr>
              <w:t>10.17+*</w:t>
            </w:r>
          </w:p>
        </w:tc>
        <w:tc>
          <w:tcPr>
            <w:tcW w:w="9420" w:type="dxa"/>
            <w:vAlign w:val="bottom"/>
            <w:tcBorders>
              <w:bottom w:val="single" w:sz="8" w:color="0000EE"/>
            </w:tcBorders>
            <w:gridSpan w:val="12"/>
          </w:tcPr>
          <w:p>
            <w:pPr>
              <w:spacing w:after="0"/>
              <w:rPr>
                <w:rFonts w:ascii="Arial" w:cs="Arial" w:eastAsia="Arial" w:hAnsi="Arial"/>
                <w:sz w:val="18"/>
                <w:szCs w:val="18"/>
                <w:color w:val="0000EE"/>
                <w:w w:val="99"/>
              </w:rPr>
            </w:pPr>
            <w:hyperlink r:id="rId134">
              <w:r>
                <w:rPr>
                  <w:rFonts w:ascii="Arial" w:cs="Arial" w:eastAsia="Arial" w:hAnsi="Arial"/>
                  <w:sz w:val="18"/>
                  <w:szCs w:val="18"/>
                  <w:color w:val="0000EE"/>
                  <w:w w:val="99"/>
                </w:rPr>
                <w:t>Lee Enterprises, Incorporated Amended and Restated Incentive Compensation Program (Effective February 22, 2017)</w:t>
              </w:r>
            </w:hyperlink>
          </w:p>
        </w:tc>
        <w:tc>
          <w:tcPr>
            <w:tcW w:w="560" w:type="dxa"/>
            <w:vAlign w:val="bottom"/>
            <w:gridSpan w:val="10"/>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300" w:type="dxa"/>
            <w:vAlign w:val="bottom"/>
            <w:tcBorders>
              <w:bottom w:val="single" w:sz="8" w:color="0000EE"/>
            </w:tcBorders>
            <w:gridSpan w:val="4"/>
          </w:tcPr>
          <w:p>
            <w:pPr>
              <w:spacing w:after="0" w:line="196" w:lineRule="exact"/>
              <w:rPr>
                <w:rFonts w:ascii="Arial" w:cs="Arial" w:eastAsia="Arial" w:hAnsi="Arial"/>
                <w:sz w:val="18"/>
                <w:szCs w:val="18"/>
                <w:color w:val="0000EE"/>
                <w:w w:val="99"/>
              </w:rPr>
            </w:pPr>
            <w:hyperlink r:id="rId134">
              <w:r>
                <w:rPr>
                  <w:rFonts w:ascii="Arial" w:cs="Arial" w:eastAsia="Arial" w:hAnsi="Arial"/>
                  <w:sz w:val="18"/>
                  <w:szCs w:val="18"/>
                  <w:color w:val="0000EE"/>
                  <w:w w:val="99"/>
                </w:rPr>
                <w:t>(Appendix B to Schedule 14A Definitive Proxy Statement for 2017)</w:t>
              </w:r>
            </w:hyperlink>
          </w:p>
        </w:tc>
        <w:tc>
          <w:tcPr>
            <w:tcW w:w="4680" w:type="dxa"/>
            <w:vAlign w:val="bottom"/>
            <w:gridSpan w:val="18"/>
          </w:tcPr>
          <w:p>
            <w:pPr>
              <w:spacing w:after="0"/>
              <w:rPr>
                <w:sz w:val="17"/>
                <w:szCs w:val="17"/>
                <w:color w:val="auto"/>
              </w:rPr>
            </w:pPr>
          </w:p>
        </w:tc>
      </w:tr>
      <w:tr>
        <w:trPr>
          <w:trHeight w:val="507"/>
        </w:trPr>
        <w:tc>
          <w:tcPr>
            <w:tcW w:w="1260" w:type="dxa"/>
            <w:vAlign w:val="bottom"/>
          </w:tcPr>
          <w:p>
            <w:pPr>
              <w:ind w:left="20"/>
              <w:spacing w:after="0"/>
              <w:rPr>
                <w:sz w:val="20"/>
                <w:szCs w:val="20"/>
                <w:color w:val="auto"/>
              </w:rPr>
            </w:pPr>
            <w:r>
              <w:rPr>
                <w:rFonts w:ascii="Arial" w:cs="Arial" w:eastAsia="Arial" w:hAnsi="Arial"/>
                <w:sz w:val="18"/>
                <w:szCs w:val="18"/>
                <w:color w:val="auto"/>
              </w:rPr>
              <w:t>19 *</w:t>
            </w:r>
          </w:p>
        </w:tc>
        <w:tc>
          <w:tcPr>
            <w:tcW w:w="9980" w:type="dxa"/>
            <w:vAlign w:val="bottom"/>
            <w:gridSpan w:val="22"/>
          </w:tcPr>
          <w:p>
            <w:pPr>
              <w:spacing w:after="0"/>
              <w:rPr>
                <w:rFonts w:ascii="Arial" w:cs="Arial" w:eastAsia="Arial" w:hAnsi="Arial"/>
                <w:sz w:val="18"/>
                <w:szCs w:val="18"/>
                <w:color w:val="0000FF"/>
              </w:rPr>
            </w:pPr>
            <w:hyperlink r:id="rId135">
              <w:r>
                <w:rPr>
                  <w:rFonts w:ascii="Arial" w:cs="Arial" w:eastAsia="Arial" w:hAnsi="Arial"/>
                  <w:sz w:val="18"/>
                  <w:szCs w:val="18"/>
                  <w:color w:val="0000FF"/>
                </w:rPr>
                <w:t>Lee Enterprises, Incorporated Insider Trading Policy effective as of September 21, 2023 (Exhibit 19 of the Annual Report on</w:t>
              </w:r>
            </w:hyperlink>
          </w:p>
        </w:tc>
      </w:tr>
      <w:tr>
        <w:trPr>
          <w:trHeight w:val="196"/>
        </w:trPr>
        <w:tc>
          <w:tcPr>
            <w:tcW w:w="1260" w:type="dxa"/>
            <w:vAlign w:val="bottom"/>
          </w:tcPr>
          <w:p>
            <w:pPr>
              <w:spacing w:after="0"/>
              <w:rPr>
                <w:sz w:val="17"/>
                <w:szCs w:val="17"/>
                <w:color w:val="auto"/>
              </w:rPr>
            </w:pPr>
          </w:p>
        </w:tc>
        <w:tc>
          <w:tcPr>
            <w:tcW w:w="996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135">
              <w:r>
                <w:rPr>
                  <w:rFonts w:ascii="Arial" w:cs="Arial" w:eastAsia="Arial" w:hAnsi="Arial"/>
                  <w:sz w:val="18"/>
                  <w:szCs w:val="18"/>
                  <w:color w:val="0000FF"/>
                </w:rPr>
                <w:t>Form 10-K for the Fiscal Year ended September 24, 2023)</w:t>
              </w:r>
            </w:hyperlink>
          </w:p>
        </w:tc>
        <w:tc>
          <w:tcPr>
            <w:tcW w:w="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4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60" w:hanging="1234"/>
        <w:spacing w:after="0"/>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0000FF"/>
        </w:rPr>
        <w:t>Subsidiaries and associated companies</w:t>
      </w:r>
    </w:p>
    <w:p>
      <w:pPr>
        <w:spacing w:after="0" w:line="320" w:lineRule="exact"/>
        <w:rPr>
          <w:sz w:val="20"/>
          <w:szCs w:val="20"/>
          <w:color w:val="auto"/>
        </w:rPr>
      </w:pPr>
    </w:p>
    <w:p>
      <w:pPr>
        <w:ind w:left="1260" w:hanging="1234"/>
        <w:spacing w:after="0"/>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0000FF"/>
        </w:rPr>
        <w:t>Consent of BDO USA, P.C., Independent Registered Public Accounting Firm</w:t>
      </w:r>
    </w:p>
    <w:p>
      <w:pPr>
        <w:spacing w:after="0" w:line="319" w:lineRule="exact"/>
        <w:rPr>
          <w:rFonts w:ascii="Arial" w:cs="Arial" w:eastAsia="Arial" w:hAnsi="Arial"/>
          <w:sz w:val="18"/>
          <w:szCs w:val="18"/>
          <w:color w:val="auto"/>
        </w:rPr>
      </w:pPr>
    </w:p>
    <w:p>
      <w:pPr>
        <w:ind w:left="1260" w:hanging="1234"/>
        <w:spacing w:after="0"/>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0000FF"/>
        </w:rPr>
        <w:t>Power of Attorney</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9980" w:type="dxa"/>
            <w:vAlign w:val="bottom"/>
            <w:tcBorders>
              <w:bottom w:val="single" w:sz="8" w:color="auto"/>
            </w:tcBorders>
            <w:gridSpan w:val="3"/>
          </w:tcPr>
          <w:p>
            <w:pPr>
              <w:ind w:left="4540"/>
              <w:spacing w:after="0"/>
              <w:rPr>
                <w:sz w:val="20"/>
                <w:szCs w:val="20"/>
                <w:color w:val="auto"/>
              </w:rPr>
            </w:pPr>
            <w:r>
              <w:rPr>
                <w:rFonts w:ascii="Arial" w:cs="Arial" w:eastAsia="Arial" w:hAnsi="Arial"/>
                <w:sz w:val="18"/>
                <w:szCs w:val="18"/>
                <w:color w:val="auto"/>
              </w:rPr>
              <w:t>Description</w:t>
            </w:r>
          </w:p>
        </w:tc>
      </w:tr>
      <w:tr>
        <w:trPr>
          <w:trHeight w:val="457"/>
        </w:trPr>
        <w:tc>
          <w:tcPr>
            <w:tcW w:w="1260" w:type="dxa"/>
            <w:vAlign w:val="bottom"/>
          </w:tcPr>
          <w:p>
            <w:pPr>
              <w:ind w:left="20"/>
              <w:spacing w:after="0"/>
              <w:rPr>
                <w:sz w:val="20"/>
                <w:szCs w:val="20"/>
                <w:color w:val="auto"/>
              </w:rPr>
            </w:pPr>
            <w:r>
              <w:rPr>
                <w:rFonts w:ascii="Arial" w:cs="Arial" w:eastAsia="Arial" w:hAnsi="Arial"/>
                <w:sz w:val="18"/>
                <w:szCs w:val="18"/>
                <w:color w:val="auto"/>
              </w:rPr>
              <w:t>31.1</w:t>
            </w:r>
          </w:p>
        </w:tc>
        <w:tc>
          <w:tcPr>
            <w:tcW w:w="9980" w:type="dxa"/>
            <w:vAlign w:val="bottom"/>
            <w:gridSpan w:val="3"/>
          </w:tcPr>
          <w:p>
            <w:pPr>
              <w:spacing w:after="0"/>
              <w:rPr>
                <w:sz w:val="20"/>
                <w:szCs w:val="20"/>
                <w:color w:val="auto"/>
              </w:rPr>
            </w:pPr>
            <w:r>
              <w:rPr>
                <w:rFonts w:ascii="Arial" w:cs="Arial" w:eastAsia="Arial" w:hAnsi="Arial"/>
                <w:sz w:val="18"/>
                <w:szCs w:val="18"/>
                <w:color w:val="0000FF"/>
              </w:rPr>
              <w:t>Certification of Chief Executive Officer Pursuant to Section 302 of the Sarbanes-Oxley Act of 2002</w:t>
            </w:r>
          </w:p>
        </w:tc>
      </w:tr>
      <w:tr>
        <w:trPr>
          <w:trHeight w:val="506"/>
        </w:trPr>
        <w:tc>
          <w:tcPr>
            <w:tcW w:w="1260" w:type="dxa"/>
            <w:vAlign w:val="bottom"/>
          </w:tcPr>
          <w:p>
            <w:pPr>
              <w:ind w:left="20"/>
              <w:spacing w:after="0"/>
              <w:rPr>
                <w:sz w:val="20"/>
                <w:szCs w:val="20"/>
                <w:color w:val="auto"/>
              </w:rPr>
            </w:pPr>
            <w:r>
              <w:rPr>
                <w:rFonts w:ascii="Arial" w:cs="Arial" w:eastAsia="Arial" w:hAnsi="Arial"/>
                <w:sz w:val="18"/>
                <w:szCs w:val="18"/>
                <w:color w:val="auto"/>
              </w:rPr>
              <w:t>31.2</w:t>
            </w:r>
          </w:p>
        </w:tc>
        <w:tc>
          <w:tcPr>
            <w:tcW w:w="780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rPr>
              <w:t>Certification of Chief Financial Officer Pursuant to Section 302 of the Sarbanes-Oxley Act of 2002</w:t>
            </w:r>
          </w:p>
        </w:tc>
        <w:tc>
          <w:tcPr>
            <w:tcW w:w="2180" w:type="dxa"/>
            <w:vAlign w:val="bottom"/>
          </w:tcPr>
          <w:p>
            <w:pPr>
              <w:spacing w:after="0"/>
              <w:rPr>
                <w:sz w:val="24"/>
                <w:szCs w:val="24"/>
                <w:color w:val="auto"/>
              </w:rPr>
            </w:pPr>
          </w:p>
        </w:tc>
      </w:tr>
      <w:tr>
        <w:trPr>
          <w:trHeight w:val="20"/>
        </w:trPr>
        <w:tc>
          <w:tcPr>
            <w:tcW w:w="1260" w:type="dxa"/>
            <w:vAlign w:val="bottom"/>
          </w:tcPr>
          <w:p>
            <w:pPr>
              <w:spacing w:after="0" w:line="20" w:lineRule="exact"/>
              <w:rPr>
                <w:sz w:val="1"/>
                <w:szCs w:val="1"/>
                <w:color w:val="auto"/>
              </w:rPr>
            </w:pPr>
          </w:p>
        </w:tc>
        <w:tc>
          <w:tcPr>
            <w:tcW w:w="77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60" w:right="20" w:hanging="1234"/>
        <w:spacing w:after="0" w:line="287" w:lineRule="auto"/>
        <w:tabs>
          <w:tab w:leader="none" w:pos="126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0000FF"/>
        </w:rPr>
        <w:t>Certification of Chief Executive Officer and Chief Financial Officer Pursuant to Section 906 of the Sarbanes-Oxley Act of 2002</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Arial" w:cs="Arial" w:eastAsia="Arial" w:hAnsi="Arial"/>
                <w:sz w:val="18"/>
                <w:szCs w:val="18"/>
                <w:color w:val="auto"/>
              </w:rPr>
              <w:t>97*</w:t>
            </w:r>
          </w:p>
        </w:tc>
        <w:tc>
          <w:tcPr>
            <w:tcW w:w="9820" w:type="dxa"/>
            <w:vAlign w:val="bottom"/>
            <w:tcBorders>
              <w:bottom w:val="single" w:sz="8" w:color="0000FF"/>
            </w:tcBorders>
            <w:gridSpan w:val="2"/>
          </w:tcPr>
          <w:p>
            <w:pPr>
              <w:spacing w:after="0"/>
              <w:rPr>
                <w:rFonts w:ascii="Arial" w:cs="Arial" w:eastAsia="Arial" w:hAnsi="Arial"/>
                <w:sz w:val="18"/>
                <w:szCs w:val="18"/>
                <w:color w:val="0000FF"/>
                <w:w w:val="99"/>
              </w:rPr>
            </w:pPr>
            <w:hyperlink r:id="rId138">
              <w:r>
                <w:rPr>
                  <w:rFonts w:ascii="Arial" w:cs="Arial" w:eastAsia="Arial" w:hAnsi="Arial"/>
                  <w:sz w:val="18"/>
                  <w:szCs w:val="18"/>
                  <w:color w:val="0000FF"/>
                  <w:w w:val="99"/>
                </w:rPr>
                <w:t>Lee Enterprises, Incorporated Recovery of Erroneously Awarded Executive Compensation Policy effective as of September</w:t>
              </w:r>
            </w:hyperlink>
          </w:p>
        </w:tc>
        <w:tc>
          <w:tcPr>
            <w:tcW w:w="6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9880" w:type="dxa"/>
            <w:vAlign w:val="bottom"/>
            <w:gridSpan w:val="3"/>
          </w:tcPr>
          <w:p>
            <w:pPr>
              <w:spacing w:after="0" w:line="196" w:lineRule="exact"/>
              <w:rPr>
                <w:rFonts w:ascii="Arial" w:cs="Arial" w:eastAsia="Arial" w:hAnsi="Arial"/>
                <w:sz w:val="18"/>
                <w:szCs w:val="18"/>
                <w:color w:val="0000FF"/>
              </w:rPr>
            </w:pPr>
            <w:hyperlink r:id="rId138">
              <w:r>
                <w:rPr>
                  <w:rFonts w:ascii="Arial" w:cs="Arial" w:eastAsia="Arial" w:hAnsi="Arial"/>
                  <w:sz w:val="18"/>
                  <w:szCs w:val="18"/>
                  <w:color w:val="0000FF"/>
                </w:rPr>
                <w:t>21, 2023 (Exhibit 97 to to Annual Report on Form 10-K for the Fiscal Year Ended September 24, 2023)</w:t>
              </w:r>
            </w:hyperlink>
          </w:p>
        </w:tc>
      </w:tr>
      <w:tr>
        <w:trPr>
          <w:trHeight w:val="20"/>
        </w:trPr>
        <w:tc>
          <w:tcPr>
            <w:tcW w:w="1240" w:type="dxa"/>
            <w:vAlign w:val="bottom"/>
          </w:tcPr>
          <w:p>
            <w:pPr>
              <w:spacing w:after="0" w:line="20" w:lineRule="exact"/>
              <w:rPr>
                <w:sz w:val="1"/>
                <w:szCs w:val="1"/>
                <w:color w:val="auto"/>
              </w:rPr>
            </w:pPr>
          </w:p>
        </w:tc>
        <w:tc>
          <w:tcPr>
            <w:tcW w:w="8160" w:type="dxa"/>
            <w:vAlign w:val="bottom"/>
            <w:shd w:val="clear" w:color="auto" w:fill="0000FF"/>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r>
      <w:tr>
        <w:trPr>
          <w:trHeight w:val="528"/>
        </w:trPr>
        <w:tc>
          <w:tcPr>
            <w:tcW w:w="1240" w:type="dxa"/>
            <w:vAlign w:val="bottom"/>
          </w:tcPr>
          <w:p>
            <w:pPr>
              <w:spacing w:after="0"/>
              <w:rPr>
                <w:sz w:val="20"/>
                <w:szCs w:val="20"/>
                <w:color w:val="auto"/>
              </w:rPr>
            </w:pPr>
            <w:r>
              <w:rPr>
                <w:rFonts w:ascii="Arial" w:cs="Arial" w:eastAsia="Arial" w:hAnsi="Arial"/>
                <w:sz w:val="18"/>
                <w:szCs w:val="18"/>
                <w:color w:val="auto"/>
              </w:rPr>
              <w:t>101.INS</w:t>
            </w:r>
          </w:p>
        </w:tc>
        <w:tc>
          <w:tcPr>
            <w:tcW w:w="9880" w:type="dxa"/>
            <w:vAlign w:val="bottom"/>
            <w:gridSpan w:val="3"/>
          </w:tcPr>
          <w:p>
            <w:pPr>
              <w:spacing w:after="0"/>
              <w:rPr>
                <w:sz w:val="20"/>
                <w:szCs w:val="20"/>
                <w:color w:val="auto"/>
              </w:rPr>
            </w:pPr>
            <w:r>
              <w:rPr>
                <w:rFonts w:ascii="Arial" w:cs="Arial" w:eastAsia="Arial" w:hAnsi="Arial"/>
                <w:sz w:val="18"/>
                <w:szCs w:val="18"/>
                <w:color w:val="auto"/>
                <w:w w:val="99"/>
              </w:rPr>
              <w:t>Inline XBRL Instance Document (the Instance Document does not appear in the Interactive Data File because its XBRL tags</w:t>
            </w:r>
          </w:p>
        </w:tc>
      </w:tr>
      <w:tr>
        <w:trPr>
          <w:trHeight w:val="239"/>
        </w:trPr>
        <w:tc>
          <w:tcPr>
            <w:tcW w:w="1240" w:type="dxa"/>
            <w:vAlign w:val="bottom"/>
          </w:tcPr>
          <w:p>
            <w:pPr>
              <w:spacing w:after="0"/>
              <w:rPr>
                <w:sz w:val="20"/>
                <w:szCs w:val="20"/>
                <w:color w:val="auto"/>
              </w:rPr>
            </w:pPr>
          </w:p>
        </w:tc>
        <w:tc>
          <w:tcPr>
            <w:tcW w:w="9880" w:type="dxa"/>
            <w:vAlign w:val="bottom"/>
            <w:gridSpan w:val="3"/>
          </w:tcPr>
          <w:p>
            <w:pPr>
              <w:spacing w:after="0"/>
              <w:rPr>
                <w:sz w:val="20"/>
                <w:szCs w:val="20"/>
                <w:color w:val="auto"/>
              </w:rPr>
            </w:pPr>
            <w:r>
              <w:rPr>
                <w:rFonts w:ascii="Arial" w:cs="Arial" w:eastAsia="Arial" w:hAnsi="Arial"/>
                <w:sz w:val="18"/>
                <w:szCs w:val="18"/>
                <w:color w:val="auto"/>
              </w:rPr>
              <w:t>are embedded within the Inline XBRL document)</w:t>
            </w:r>
          </w:p>
        </w:tc>
      </w:tr>
      <w:tr>
        <w:trPr>
          <w:trHeight w:val="513"/>
        </w:trPr>
        <w:tc>
          <w:tcPr>
            <w:tcW w:w="1240" w:type="dxa"/>
            <w:vAlign w:val="bottom"/>
          </w:tcPr>
          <w:p>
            <w:pPr>
              <w:spacing w:after="0"/>
              <w:rPr>
                <w:sz w:val="20"/>
                <w:szCs w:val="20"/>
                <w:color w:val="auto"/>
              </w:rPr>
            </w:pPr>
            <w:r>
              <w:rPr>
                <w:rFonts w:ascii="Arial" w:cs="Arial" w:eastAsia="Arial" w:hAnsi="Arial"/>
                <w:sz w:val="18"/>
                <w:szCs w:val="18"/>
                <w:color w:val="auto"/>
              </w:rPr>
              <w:t>101.SCH</w:t>
            </w:r>
          </w:p>
        </w:tc>
        <w:tc>
          <w:tcPr>
            <w:tcW w:w="988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527"/>
        </w:trPr>
        <w:tc>
          <w:tcPr>
            <w:tcW w:w="1240" w:type="dxa"/>
            <w:vAlign w:val="bottom"/>
          </w:tcPr>
          <w:p>
            <w:pPr>
              <w:spacing w:after="0"/>
              <w:rPr>
                <w:sz w:val="20"/>
                <w:szCs w:val="20"/>
                <w:color w:val="auto"/>
              </w:rPr>
            </w:pPr>
            <w:r>
              <w:rPr>
                <w:rFonts w:ascii="Arial" w:cs="Arial" w:eastAsia="Arial" w:hAnsi="Arial"/>
                <w:sz w:val="18"/>
                <w:szCs w:val="18"/>
                <w:color w:val="auto"/>
              </w:rPr>
              <w:t>101.CAL</w:t>
            </w:r>
          </w:p>
        </w:tc>
        <w:tc>
          <w:tcPr>
            <w:tcW w:w="9880" w:type="dxa"/>
            <w:vAlign w:val="bottom"/>
            <w:gridSpan w:val="3"/>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527"/>
        </w:trPr>
        <w:tc>
          <w:tcPr>
            <w:tcW w:w="1240" w:type="dxa"/>
            <w:vAlign w:val="bottom"/>
          </w:tcPr>
          <w:p>
            <w:pPr>
              <w:spacing w:after="0"/>
              <w:rPr>
                <w:sz w:val="20"/>
                <w:szCs w:val="20"/>
                <w:color w:val="auto"/>
              </w:rPr>
            </w:pPr>
            <w:r>
              <w:rPr>
                <w:rFonts w:ascii="Arial" w:cs="Arial" w:eastAsia="Arial" w:hAnsi="Arial"/>
                <w:sz w:val="18"/>
                <w:szCs w:val="18"/>
                <w:color w:val="auto"/>
              </w:rPr>
              <w:t>101.DEF</w:t>
            </w:r>
          </w:p>
        </w:tc>
        <w:tc>
          <w:tcPr>
            <w:tcW w:w="9880" w:type="dxa"/>
            <w:vAlign w:val="bottom"/>
            <w:gridSpan w:val="3"/>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526"/>
        </w:trPr>
        <w:tc>
          <w:tcPr>
            <w:tcW w:w="1240" w:type="dxa"/>
            <w:vAlign w:val="bottom"/>
          </w:tcPr>
          <w:p>
            <w:pPr>
              <w:spacing w:after="0"/>
              <w:rPr>
                <w:sz w:val="20"/>
                <w:szCs w:val="20"/>
                <w:color w:val="auto"/>
              </w:rPr>
            </w:pPr>
            <w:r>
              <w:rPr>
                <w:rFonts w:ascii="Arial" w:cs="Arial" w:eastAsia="Arial" w:hAnsi="Arial"/>
                <w:sz w:val="18"/>
                <w:szCs w:val="18"/>
                <w:color w:val="auto"/>
              </w:rPr>
              <w:t>101.LAB</w:t>
            </w:r>
          </w:p>
        </w:tc>
        <w:tc>
          <w:tcPr>
            <w:tcW w:w="9880" w:type="dxa"/>
            <w:vAlign w:val="bottom"/>
            <w:gridSpan w:val="3"/>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526"/>
        </w:trPr>
        <w:tc>
          <w:tcPr>
            <w:tcW w:w="1240" w:type="dxa"/>
            <w:vAlign w:val="bottom"/>
          </w:tcPr>
          <w:p>
            <w:pPr>
              <w:spacing w:after="0"/>
              <w:rPr>
                <w:sz w:val="20"/>
                <w:szCs w:val="20"/>
                <w:color w:val="auto"/>
              </w:rPr>
            </w:pPr>
            <w:r>
              <w:rPr>
                <w:rFonts w:ascii="Arial" w:cs="Arial" w:eastAsia="Arial" w:hAnsi="Arial"/>
                <w:sz w:val="18"/>
                <w:szCs w:val="18"/>
                <w:color w:val="auto"/>
              </w:rPr>
              <w:t>101.PRE</w:t>
            </w:r>
          </w:p>
        </w:tc>
        <w:tc>
          <w:tcPr>
            <w:tcW w:w="9880" w:type="dxa"/>
            <w:vAlign w:val="bottom"/>
            <w:gridSpan w:val="3"/>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88" w:lineRule="exact"/>
        <w:rPr>
          <w:sz w:val="20"/>
          <w:szCs w:val="20"/>
          <w:color w:val="auto"/>
        </w:rPr>
      </w:pPr>
    </w:p>
    <w:p>
      <w:pPr>
        <w:ind w:left="1260" w:hanging="1234"/>
        <w:spacing w:after="0"/>
        <w:tabs>
          <w:tab w:leader="none" w:pos="1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 on the 13</w:t>
      </w:r>
      <w:r>
        <w:rPr>
          <w:rFonts w:ascii="Arial" w:cs="Arial" w:eastAsia="Arial" w:hAnsi="Arial"/>
          <w:sz w:val="28"/>
          <w:szCs w:val="28"/>
          <w:color w:val="auto"/>
          <w:vertAlign w:val="superscript"/>
        </w:rPr>
        <w:t>th</w:t>
      </w:r>
      <w:r>
        <w:rPr>
          <w:rFonts w:ascii="Arial" w:cs="Arial" w:eastAsia="Arial" w:hAnsi="Arial"/>
          <w:sz w:val="18"/>
          <w:szCs w:val="18"/>
          <w:color w:val="auto"/>
        </w:rPr>
        <w:t xml:space="preserve"> day of December 2024.</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320" w:type="dxa"/>
            <w:vAlign w:val="bottom"/>
          </w:tcPr>
          <w:p>
            <w:pPr>
              <w:spacing w:after="0"/>
              <w:rPr>
                <w:sz w:val="20"/>
                <w:szCs w:val="20"/>
                <w:color w:val="auto"/>
              </w:rPr>
            </w:pPr>
            <w:r>
              <w:rPr>
                <w:rFonts w:ascii="Arial" w:cs="Arial" w:eastAsia="Arial" w:hAnsi="Arial"/>
                <w:sz w:val="18"/>
                <w:szCs w:val="18"/>
                <w:color w:val="auto"/>
              </w:rPr>
              <w:t>LEE ENTERPRISES, INCORPORATED</w:t>
            </w:r>
          </w:p>
        </w:tc>
        <w:tc>
          <w:tcPr>
            <w:tcW w:w="580" w:type="dxa"/>
            <w:vAlign w:val="bottom"/>
          </w:tcPr>
          <w:p>
            <w:pPr>
              <w:spacing w:after="0"/>
              <w:rPr>
                <w:sz w:val="20"/>
                <w:szCs w:val="20"/>
                <w:color w:val="auto"/>
              </w:rPr>
            </w:pPr>
          </w:p>
        </w:tc>
        <w:tc>
          <w:tcPr>
            <w:tcW w:w="5340" w:type="dxa"/>
            <w:vAlign w:val="bottom"/>
          </w:tcPr>
          <w:p>
            <w:pPr>
              <w:spacing w:after="0"/>
              <w:rPr>
                <w:sz w:val="20"/>
                <w:szCs w:val="20"/>
                <w:color w:val="auto"/>
              </w:rPr>
            </w:pPr>
          </w:p>
        </w:tc>
      </w:tr>
      <w:tr>
        <w:trPr>
          <w:trHeight w:val="450"/>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Kevin D. Mowbray</w:t>
            </w:r>
          </w:p>
        </w:tc>
        <w:tc>
          <w:tcPr>
            <w:tcW w:w="580" w:type="dxa"/>
            <w:vAlign w:val="bottom"/>
          </w:tcPr>
          <w:p>
            <w:pPr>
              <w:spacing w:after="0"/>
              <w:rPr>
                <w:sz w:val="24"/>
                <w:szCs w:val="24"/>
                <w:color w:val="auto"/>
              </w:rPr>
            </w:pPr>
          </w:p>
        </w:tc>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Timothy R. Millage</w:t>
            </w:r>
          </w:p>
        </w:tc>
      </w:tr>
      <w:tr>
        <w:trPr>
          <w:trHeight w:val="245"/>
        </w:trPr>
        <w:tc>
          <w:tcPr>
            <w:tcW w:w="5320" w:type="dxa"/>
            <w:vAlign w:val="bottom"/>
          </w:tcPr>
          <w:p>
            <w:pPr>
              <w:ind w:left="20"/>
              <w:spacing w:after="0"/>
              <w:rPr>
                <w:sz w:val="20"/>
                <w:szCs w:val="20"/>
                <w:color w:val="auto"/>
              </w:rPr>
            </w:pPr>
            <w:r>
              <w:rPr>
                <w:rFonts w:ascii="Arial" w:cs="Arial" w:eastAsia="Arial" w:hAnsi="Arial"/>
                <w:sz w:val="18"/>
                <w:szCs w:val="18"/>
                <w:color w:val="auto"/>
              </w:rPr>
              <w:t>Kevin D. Mowbray</w:t>
            </w:r>
          </w:p>
        </w:tc>
        <w:tc>
          <w:tcPr>
            <w:tcW w:w="580" w:type="dxa"/>
            <w:vAlign w:val="bottom"/>
          </w:tcPr>
          <w:p>
            <w:pPr>
              <w:spacing w:after="0"/>
              <w:rPr>
                <w:sz w:val="21"/>
                <w:szCs w:val="21"/>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Timothy R. Millage</w:t>
            </w:r>
          </w:p>
        </w:tc>
      </w:tr>
      <w:tr>
        <w:trPr>
          <w:trHeight w:val="256"/>
        </w:trPr>
        <w:tc>
          <w:tcPr>
            <w:tcW w:w="53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c>
          <w:tcPr>
            <w:tcW w:w="580" w:type="dxa"/>
            <w:vAlign w:val="bottom"/>
          </w:tcPr>
          <w:p>
            <w:pPr>
              <w:spacing w:after="0"/>
              <w:rPr>
                <w:sz w:val="22"/>
                <w:szCs w:val="22"/>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Vice President, Chief Financial Officer and Treasurer</w:t>
            </w:r>
          </w:p>
        </w:tc>
      </w:tr>
      <w:tr>
        <w:trPr>
          <w:trHeight w:val="257"/>
        </w:trPr>
        <w:tc>
          <w:tcPr>
            <w:tcW w:w="53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580" w:type="dxa"/>
            <w:vAlign w:val="bottom"/>
          </w:tcPr>
          <w:p>
            <w:pPr>
              <w:spacing w:after="0"/>
              <w:rPr>
                <w:sz w:val="22"/>
                <w:szCs w:val="22"/>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r>
        <w:trPr>
          <w:trHeight w:val="932"/>
        </w:trPr>
        <w:tc>
          <w:tcPr>
            <w:tcW w:w="5320" w:type="dxa"/>
            <w:vAlign w:val="bottom"/>
          </w:tcPr>
          <w:p>
            <w:pPr>
              <w:spacing w:after="0"/>
              <w:rPr>
                <w:sz w:val="24"/>
                <w:szCs w:val="24"/>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73</w:t>
            </w:r>
          </w:p>
        </w:tc>
        <w:tc>
          <w:tcPr>
            <w:tcW w:w="5340" w:type="dxa"/>
            <w:vAlign w:val="bottom"/>
          </w:tcPr>
          <w:p>
            <w:pPr>
              <w:spacing w:after="0"/>
              <w:rPr>
                <w:sz w:val="24"/>
                <w:szCs w:val="24"/>
                <w:color w:val="auto"/>
              </w:rPr>
            </w:pPr>
          </w:p>
        </w:tc>
      </w:tr>
      <w:tr>
        <w:trPr>
          <w:trHeight w:val="98"/>
        </w:trPr>
        <w:tc>
          <w:tcPr>
            <w:tcW w:w="53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53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their respective capacities on the 13</w:t>
      </w:r>
      <w:r>
        <w:rPr>
          <w:rFonts w:ascii="Arial" w:cs="Arial" w:eastAsia="Arial" w:hAnsi="Arial"/>
          <w:sz w:val="28"/>
          <w:szCs w:val="28"/>
          <w:color w:val="auto"/>
          <w:vertAlign w:val="superscript"/>
        </w:rPr>
        <w:t>th</w:t>
      </w:r>
      <w:r>
        <w:rPr>
          <w:rFonts w:ascii="Arial" w:cs="Arial" w:eastAsia="Arial" w:hAnsi="Arial"/>
          <w:sz w:val="18"/>
          <w:szCs w:val="18"/>
          <w:color w:val="auto"/>
        </w:rPr>
        <w:t xml:space="preserve"> day of December 2024.</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160" w:type="dxa"/>
            <w:vAlign w:val="bottom"/>
          </w:tcPr>
          <w:p>
            <w:pPr>
              <w:spacing w:after="0"/>
              <w:rPr>
                <w:sz w:val="20"/>
                <w:szCs w:val="20"/>
                <w:color w:val="auto"/>
              </w:rPr>
            </w:pPr>
          </w:p>
        </w:tc>
        <w:tc>
          <w:tcPr>
            <w:tcW w:w="7960" w:type="dxa"/>
            <w:vAlign w:val="bottom"/>
            <w:gridSpan w:val="2"/>
          </w:tcPr>
          <w:p>
            <w:pPr>
              <w:jc w:val="right"/>
              <w:ind w:right="6970"/>
              <w:spacing w:after="0"/>
              <w:rPr>
                <w:sz w:val="20"/>
                <w:szCs w:val="20"/>
                <w:color w:val="auto"/>
              </w:rPr>
            </w:pPr>
            <w:r>
              <w:rPr>
                <w:rFonts w:ascii="Arial" w:cs="Arial" w:eastAsia="Arial" w:hAnsi="Arial"/>
                <w:sz w:val="18"/>
                <w:szCs w:val="18"/>
                <w:color w:val="auto"/>
              </w:rPr>
              <w:t>Signature</w:t>
            </w:r>
          </w:p>
        </w:tc>
      </w:tr>
      <w:tr>
        <w:trPr>
          <w:trHeight w:val="531"/>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Steven C. Fletcher</w:t>
            </w:r>
          </w:p>
        </w:tc>
        <w:tc>
          <w:tcPr>
            <w:tcW w:w="3160" w:type="dxa"/>
            <w:vAlign w:val="bottom"/>
            <w:tcBorders>
              <w:bottom w:val="single" w:sz="8" w:color="auto"/>
            </w:tcBorders>
          </w:tcPr>
          <w:p>
            <w:pPr>
              <w:spacing w:after="0"/>
              <w:rPr>
                <w:sz w:val="24"/>
                <w:szCs w:val="24"/>
                <w:color w:val="auto"/>
              </w:rPr>
            </w:pPr>
          </w:p>
        </w:tc>
        <w:tc>
          <w:tcPr>
            <w:tcW w:w="4800" w:type="dxa"/>
            <w:vAlign w:val="bottom"/>
          </w:tcPr>
          <w:p>
            <w:pPr>
              <w:ind w:left="600"/>
              <w:spacing w:after="0"/>
              <w:rPr>
                <w:sz w:val="20"/>
                <w:szCs w:val="20"/>
                <w:color w:val="auto"/>
              </w:rPr>
            </w:pPr>
            <w:r>
              <w:rPr>
                <w:rFonts w:ascii="Arial" w:cs="Arial" w:eastAsia="Arial" w:hAnsi="Arial"/>
                <w:sz w:val="18"/>
                <w:szCs w:val="18"/>
                <w:color w:val="auto"/>
              </w:rPr>
              <w:t>Director</w:t>
            </w:r>
          </w:p>
        </w:tc>
      </w:tr>
      <w:tr>
        <w:trPr>
          <w:trHeight w:val="245"/>
        </w:trPr>
        <w:tc>
          <w:tcPr>
            <w:tcW w:w="2160" w:type="dxa"/>
            <w:vAlign w:val="bottom"/>
          </w:tcPr>
          <w:p>
            <w:pPr>
              <w:ind w:left="20"/>
              <w:spacing w:after="0"/>
              <w:rPr>
                <w:sz w:val="20"/>
                <w:szCs w:val="20"/>
                <w:color w:val="auto"/>
              </w:rPr>
            </w:pPr>
            <w:r>
              <w:rPr>
                <w:rFonts w:ascii="Arial" w:cs="Arial" w:eastAsia="Arial" w:hAnsi="Arial"/>
                <w:sz w:val="18"/>
                <w:szCs w:val="18"/>
                <w:color w:val="auto"/>
              </w:rPr>
              <w:t>Steven C. Fletcher</w:t>
            </w:r>
          </w:p>
        </w:tc>
        <w:tc>
          <w:tcPr>
            <w:tcW w:w="3160" w:type="dxa"/>
            <w:vAlign w:val="bottom"/>
          </w:tcPr>
          <w:p>
            <w:pPr>
              <w:spacing w:after="0"/>
              <w:rPr>
                <w:sz w:val="21"/>
                <w:szCs w:val="21"/>
                <w:color w:val="auto"/>
              </w:rPr>
            </w:pPr>
          </w:p>
        </w:tc>
        <w:tc>
          <w:tcPr>
            <w:tcW w:w="4800" w:type="dxa"/>
            <w:vAlign w:val="bottom"/>
          </w:tcPr>
          <w:p>
            <w:pPr>
              <w:spacing w:after="0"/>
              <w:rPr>
                <w:sz w:val="21"/>
                <w:szCs w:val="21"/>
                <w:color w:val="auto"/>
              </w:rPr>
            </w:pPr>
          </w:p>
        </w:tc>
      </w:tr>
      <w:tr>
        <w:trPr>
          <w:trHeight w:val="531"/>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Margaret R. Liberman</w:t>
            </w:r>
          </w:p>
        </w:tc>
        <w:tc>
          <w:tcPr>
            <w:tcW w:w="3160" w:type="dxa"/>
            <w:vAlign w:val="bottom"/>
            <w:tcBorders>
              <w:bottom w:val="single" w:sz="8" w:color="auto"/>
            </w:tcBorders>
          </w:tcPr>
          <w:p>
            <w:pPr>
              <w:spacing w:after="0"/>
              <w:rPr>
                <w:sz w:val="24"/>
                <w:szCs w:val="24"/>
                <w:color w:val="auto"/>
              </w:rPr>
            </w:pPr>
          </w:p>
        </w:tc>
        <w:tc>
          <w:tcPr>
            <w:tcW w:w="4800" w:type="dxa"/>
            <w:vAlign w:val="bottom"/>
          </w:tcPr>
          <w:p>
            <w:pPr>
              <w:ind w:left="600"/>
              <w:spacing w:after="0"/>
              <w:rPr>
                <w:sz w:val="20"/>
                <w:szCs w:val="20"/>
                <w:color w:val="auto"/>
              </w:rPr>
            </w:pPr>
            <w:r>
              <w:rPr>
                <w:rFonts w:ascii="Arial" w:cs="Arial" w:eastAsia="Arial" w:hAnsi="Arial"/>
                <w:sz w:val="18"/>
                <w:szCs w:val="18"/>
                <w:color w:val="auto"/>
              </w:rPr>
              <w:t>Director</w:t>
            </w:r>
          </w:p>
        </w:tc>
      </w:tr>
      <w:tr>
        <w:trPr>
          <w:trHeight w:val="245"/>
        </w:trPr>
        <w:tc>
          <w:tcPr>
            <w:tcW w:w="2160" w:type="dxa"/>
            <w:vAlign w:val="bottom"/>
          </w:tcPr>
          <w:p>
            <w:pPr>
              <w:ind w:left="20"/>
              <w:spacing w:after="0"/>
              <w:rPr>
                <w:sz w:val="20"/>
                <w:szCs w:val="20"/>
                <w:color w:val="auto"/>
              </w:rPr>
            </w:pPr>
            <w:r>
              <w:rPr>
                <w:rFonts w:ascii="Arial" w:cs="Arial" w:eastAsia="Arial" w:hAnsi="Arial"/>
                <w:sz w:val="18"/>
                <w:szCs w:val="18"/>
                <w:color w:val="auto"/>
              </w:rPr>
              <w:t>Margaret R. Liberman</w:t>
            </w:r>
          </w:p>
        </w:tc>
        <w:tc>
          <w:tcPr>
            <w:tcW w:w="3160" w:type="dxa"/>
            <w:vAlign w:val="bottom"/>
          </w:tcPr>
          <w:p>
            <w:pPr>
              <w:spacing w:after="0"/>
              <w:rPr>
                <w:sz w:val="21"/>
                <w:szCs w:val="21"/>
                <w:color w:val="auto"/>
              </w:rPr>
            </w:pPr>
          </w:p>
        </w:tc>
        <w:tc>
          <w:tcPr>
            <w:tcW w:w="4800" w:type="dxa"/>
            <w:vAlign w:val="bottom"/>
          </w:tcPr>
          <w:p>
            <w:pPr>
              <w:spacing w:after="0"/>
              <w:rPr>
                <w:sz w:val="21"/>
                <w:szCs w:val="21"/>
                <w:color w:val="auto"/>
              </w:rPr>
            </w:pPr>
          </w:p>
        </w:tc>
      </w:tr>
      <w:tr>
        <w:trPr>
          <w:trHeight w:val="531"/>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Mary E. Junck</w:t>
            </w:r>
          </w:p>
        </w:tc>
        <w:tc>
          <w:tcPr>
            <w:tcW w:w="3160" w:type="dxa"/>
            <w:vAlign w:val="bottom"/>
            <w:tcBorders>
              <w:bottom w:val="single" w:sz="8" w:color="auto"/>
            </w:tcBorders>
          </w:tcPr>
          <w:p>
            <w:pPr>
              <w:spacing w:after="0"/>
              <w:rPr>
                <w:sz w:val="24"/>
                <w:szCs w:val="24"/>
                <w:color w:val="auto"/>
              </w:rPr>
            </w:pPr>
          </w:p>
        </w:tc>
        <w:tc>
          <w:tcPr>
            <w:tcW w:w="4800" w:type="dxa"/>
            <w:vAlign w:val="bottom"/>
          </w:tcPr>
          <w:p>
            <w:pPr>
              <w:ind w:left="600"/>
              <w:spacing w:after="0"/>
              <w:rPr>
                <w:sz w:val="20"/>
                <w:szCs w:val="20"/>
                <w:color w:val="auto"/>
              </w:rPr>
            </w:pPr>
            <w:r>
              <w:rPr>
                <w:rFonts w:ascii="Arial" w:cs="Arial" w:eastAsia="Arial" w:hAnsi="Arial"/>
                <w:sz w:val="18"/>
                <w:szCs w:val="18"/>
                <w:color w:val="auto"/>
              </w:rPr>
              <w:t>Director</w:t>
            </w:r>
          </w:p>
        </w:tc>
      </w:tr>
      <w:tr>
        <w:trPr>
          <w:trHeight w:val="245"/>
        </w:trPr>
        <w:tc>
          <w:tcPr>
            <w:tcW w:w="2160" w:type="dxa"/>
            <w:vAlign w:val="bottom"/>
          </w:tcPr>
          <w:p>
            <w:pPr>
              <w:ind w:left="20"/>
              <w:spacing w:after="0"/>
              <w:rPr>
                <w:sz w:val="20"/>
                <w:szCs w:val="20"/>
                <w:color w:val="auto"/>
              </w:rPr>
            </w:pPr>
            <w:r>
              <w:rPr>
                <w:rFonts w:ascii="Arial" w:cs="Arial" w:eastAsia="Arial" w:hAnsi="Arial"/>
                <w:sz w:val="18"/>
                <w:szCs w:val="18"/>
                <w:color w:val="auto"/>
              </w:rPr>
              <w:t>Mary E. Junck</w:t>
            </w:r>
          </w:p>
        </w:tc>
        <w:tc>
          <w:tcPr>
            <w:tcW w:w="3160" w:type="dxa"/>
            <w:vAlign w:val="bottom"/>
          </w:tcPr>
          <w:p>
            <w:pPr>
              <w:spacing w:after="0"/>
              <w:rPr>
                <w:sz w:val="21"/>
                <w:szCs w:val="21"/>
                <w:color w:val="auto"/>
              </w:rPr>
            </w:pPr>
          </w:p>
        </w:tc>
        <w:tc>
          <w:tcPr>
            <w:tcW w:w="4800" w:type="dxa"/>
            <w:vAlign w:val="bottom"/>
          </w:tcPr>
          <w:p>
            <w:pPr>
              <w:spacing w:after="0"/>
              <w:rPr>
                <w:sz w:val="21"/>
                <w:szCs w:val="21"/>
                <w:color w:val="auto"/>
              </w:rPr>
            </w:pPr>
          </w:p>
        </w:tc>
      </w:tr>
      <w:tr>
        <w:trPr>
          <w:trHeight w:val="531"/>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Brent M. Magid</w:t>
            </w:r>
          </w:p>
        </w:tc>
        <w:tc>
          <w:tcPr>
            <w:tcW w:w="3160" w:type="dxa"/>
            <w:vAlign w:val="bottom"/>
            <w:tcBorders>
              <w:bottom w:val="single" w:sz="8" w:color="auto"/>
            </w:tcBorders>
          </w:tcPr>
          <w:p>
            <w:pPr>
              <w:spacing w:after="0"/>
              <w:rPr>
                <w:sz w:val="24"/>
                <w:szCs w:val="24"/>
                <w:color w:val="auto"/>
              </w:rPr>
            </w:pPr>
          </w:p>
        </w:tc>
        <w:tc>
          <w:tcPr>
            <w:tcW w:w="4800" w:type="dxa"/>
            <w:vAlign w:val="bottom"/>
          </w:tcPr>
          <w:p>
            <w:pPr>
              <w:ind w:left="600"/>
              <w:spacing w:after="0"/>
              <w:rPr>
                <w:sz w:val="20"/>
                <w:szCs w:val="20"/>
                <w:color w:val="auto"/>
              </w:rPr>
            </w:pPr>
            <w:r>
              <w:rPr>
                <w:rFonts w:ascii="Arial" w:cs="Arial" w:eastAsia="Arial" w:hAnsi="Arial"/>
                <w:sz w:val="18"/>
                <w:szCs w:val="18"/>
                <w:color w:val="auto"/>
              </w:rPr>
              <w:t>Director</w:t>
            </w:r>
          </w:p>
        </w:tc>
      </w:tr>
      <w:tr>
        <w:trPr>
          <w:trHeight w:val="245"/>
        </w:trPr>
        <w:tc>
          <w:tcPr>
            <w:tcW w:w="2160" w:type="dxa"/>
            <w:vAlign w:val="bottom"/>
          </w:tcPr>
          <w:p>
            <w:pPr>
              <w:ind w:left="20"/>
              <w:spacing w:after="0"/>
              <w:rPr>
                <w:sz w:val="20"/>
                <w:szCs w:val="20"/>
                <w:color w:val="auto"/>
              </w:rPr>
            </w:pPr>
            <w:r>
              <w:rPr>
                <w:rFonts w:ascii="Arial" w:cs="Arial" w:eastAsia="Arial" w:hAnsi="Arial"/>
                <w:sz w:val="18"/>
                <w:szCs w:val="18"/>
                <w:color w:val="auto"/>
              </w:rPr>
              <w:t>Brent M. Magid</w:t>
            </w:r>
          </w:p>
        </w:tc>
        <w:tc>
          <w:tcPr>
            <w:tcW w:w="3160" w:type="dxa"/>
            <w:vAlign w:val="bottom"/>
          </w:tcPr>
          <w:p>
            <w:pPr>
              <w:spacing w:after="0"/>
              <w:rPr>
                <w:sz w:val="21"/>
                <w:szCs w:val="21"/>
                <w:color w:val="auto"/>
              </w:rPr>
            </w:pPr>
          </w:p>
        </w:tc>
        <w:tc>
          <w:tcPr>
            <w:tcW w:w="4800" w:type="dxa"/>
            <w:vAlign w:val="bottom"/>
          </w:tcPr>
          <w:p>
            <w:pPr>
              <w:spacing w:after="0"/>
              <w:rPr>
                <w:sz w:val="21"/>
                <w:szCs w:val="21"/>
                <w:color w:val="auto"/>
              </w:rPr>
            </w:pPr>
          </w:p>
        </w:tc>
      </w:tr>
      <w:tr>
        <w:trPr>
          <w:trHeight w:val="531"/>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Shaun E. McAlmont</w:t>
            </w:r>
          </w:p>
        </w:tc>
        <w:tc>
          <w:tcPr>
            <w:tcW w:w="3160" w:type="dxa"/>
            <w:vAlign w:val="bottom"/>
            <w:tcBorders>
              <w:bottom w:val="single" w:sz="8" w:color="auto"/>
            </w:tcBorders>
          </w:tcPr>
          <w:p>
            <w:pPr>
              <w:spacing w:after="0"/>
              <w:rPr>
                <w:sz w:val="24"/>
                <w:szCs w:val="24"/>
                <w:color w:val="auto"/>
              </w:rPr>
            </w:pPr>
          </w:p>
        </w:tc>
        <w:tc>
          <w:tcPr>
            <w:tcW w:w="4800" w:type="dxa"/>
            <w:vAlign w:val="bottom"/>
          </w:tcPr>
          <w:p>
            <w:pPr>
              <w:ind w:left="600"/>
              <w:spacing w:after="0"/>
              <w:rPr>
                <w:sz w:val="20"/>
                <w:szCs w:val="20"/>
                <w:color w:val="auto"/>
              </w:rPr>
            </w:pPr>
            <w:r>
              <w:rPr>
                <w:rFonts w:ascii="Arial" w:cs="Arial" w:eastAsia="Arial" w:hAnsi="Arial"/>
                <w:sz w:val="18"/>
                <w:szCs w:val="18"/>
                <w:color w:val="auto"/>
              </w:rPr>
              <w:t>Director</w:t>
            </w:r>
          </w:p>
        </w:tc>
      </w:tr>
      <w:tr>
        <w:trPr>
          <w:trHeight w:val="245"/>
        </w:trPr>
        <w:tc>
          <w:tcPr>
            <w:tcW w:w="2160" w:type="dxa"/>
            <w:vAlign w:val="bottom"/>
          </w:tcPr>
          <w:p>
            <w:pPr>
              <w:ind w:left="20"/>
              <w:spacing w:after="0"/>
              <w:rPr>
                <w:sz w:val="20"/>
                <w:szCs w:val="20"/>
                <w:color w:val="auto"/>
              </w:rPr>
            </w:pPr>
            <w:r>
              <w:rPr>
                <w:rFonts w:ascii="Arial" w:cs="Arial" w:eastAsia="Arial" w:hAnsi="Arial"/>
                <w:sz w:val="18"/>
                <w:szCs w:val="18"/>
                <w:color w:val="auto"/>
              </w:rPr>
              <w:t>Shaun E. McAlmont</w:t>
            </w:r>
          </w:p>
        </w:tc>
        <w:tc>
          <w:tcPr>
            <w:tcW w:w="3160" w:type="dxa"/>
            <w:vAlign w:val="bottom"/>
          </w:tcPr>
          <w:p>
            <w:pPr>
              <w:spacing w:after="0"/>
              <w:rPr>
                <w:sz w:val="21"/>
                <w:szCs w:val="21"/>
                <w:color w:val="auto"/>
              </w:rPr>
            </w:pPr>
          </w:p>
        </w:tc>
        <w:tc>
          <w:tcPr>
            <w:tcW w:w="4800" w:type="dxa"/>
            <w:vAlign w:val="bottom"/>
          </w:tcPr>
          <w:p>
            <w:pPr>
              <w:spacing w:after="0"/>
              <w:rPr>
                <w:sz w:val="21"/>
                <w:szCs w:val="21"/>
                <w:color w:val="auto"/>
              </w:rPr>
            </w:pPr>
          </w:p>
        </w:tc>
      </w:tr>
      <w:tr>
        <w:trPr>
          <w:trHeight w:val="531"/>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Herbert W. Moloney III</w:t>
            </w:r>
          </w:p>
        </w:tc>
        <w:tc>
          <w:tcPr>
            <w:tcW w:w="3160" w:type="dxa"/>
            <w:vAlign w:val="bottom"/>
            <w:tcBorders>
              <w:bottom w:val="single" w:sz="8" w:color="auto"/>
            </w:tcBorders>
          </w:tcPr>
          <w:p>
            <w:pPr>
              <w:spacing w:after="0"/>
              <w:rPr>
                <w:sz w:val="24"/>
                <w:szCs w:val="24"/>
                <w:color w:val="auto"/>
              </w:rPr>
            </w:pPr>
          </w:p>
        </w:tc>
        <w:tc>
          <w:tcPr>
            <w:tcW w:w="4800" w:type="dxa"/>
            <w:vAlign w:val="bottom"/>
          </w:tcPr>
          <w:p>
            <w:pPr>
              <w:ind w:left="600"/>
              <w:spacing w:after="0"/>
              <w:rPr>
                <w:sz w:val="20"/>
                <w:szCs w:val="20"/>
                <w:color w:val="auto"/>
              </w:rPr>
            </w:pPr>
            <w:r>
              <w:rPr>
                <w:rFonts w:ascii="Arial" w:cs="Arial" w:eastAsia="Arial" w:hAnsi="Arial"/>
                <w:sz w:val="18"/>
                <w:szCs w:val="18"/>
                <w:color w:val="auto"/>
              </w:rPr>
              <w:t>Director</w:t>
            </w:r>
          </w:p>
        </w:tc>
      </w:tr>
      <w:tr>
        <w:trPr>
          <w:trHeight w:val="245"/>
        </w:trPr>
        <w:tc>
          <w:tcPr>
            <w:tcW w:w="2160" w:type="dxa"/>
            <w:vAlign w:val="bottom"/>
          </w:tcPr>
          <w:p>
            <w:pPr>
              <w:ind w:left="20"/>
              <w:spacing w:after="0"/>
              <w:rPr>
                <w:sz w:val="20"/>
                <w:szCs w:val="20"/>
                <w:color w:val="auto"/>
              </w:rPr>
            </w:pPr>
            <w:r>
              <w:rPr>
                <w:rFonts w:ascii="Arial" w:cs="Arial" w:eastAsia="Arial" w:hAnsi="Arial"/>
                <w:sz w:val="18"/>
                <w:szCs w:val="18"/>
                <w:color w:val="auto"/>
              </w:rPr>
              <w:t>Herbert W. Moloney III</w:t>
            </w:r>
          </w:p>
        </w:tc>
        <w:tc>
          <w:tcPr>
            <w:tcW w:w="3160" w:type="dxa"/>
            <w:vAlign w:val="bottom"/>
          </w:tcPr>
          <w:p>
            <w:pPr>
              <w:spacing w:after="0"/>
              <w:rPr>
                <w:sz w:val="21"/>
                <w:szCs w:val="21"/>
                <w:color w:val="auto"/>
              </w:rPr>
            </w:pPr>
          </w:p>
        </w:tc>
        <w:tc>
          <w:tcPr>
            <w:tcW w:w="4800" w:type="dxa"/>
            <w:vAlign w:val="bottom"/>
          </w:tcPr>
          <w:p>
            <w:pPr>
              <w:spacing w:after="0"/>
              <w:rPr>
                <w:sz w:val="21"/>
                <w:szCs w:val="21"/>
                <w:color w:val="auto"/>
              </w:rPr>
            </w:pPr>
          </w:p>
        </w:tc>
      </w:tr>
      <w:tr>
        <w:trPr>
          <w:trHeight w:val="531"/>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Madeline McIntosh</w:t>
            </w:r>
          </w:p>
        </w:tc>
        <w:tc>
          <w:tcPr>
            <w:tcW w:w="3160" w:type="dxa"/>
            <w:vAlign w:val="bottom"/>
            <w:tcBorders>
              <w:bottom w:val="single" w:sz="8" w:color="auto"/>
            </w:tcBorders>
          </w:tcPr>
          <w:p>
            <w:pPr>
              <w:spacing w:after="0"/>
              <w:rPr>
                <w:sz w:val="24"/>
                <w:szCs w:val="24"/>
                <w:color w:val="auto"/>
              </w:rPr>
            </w:pPr>
          </w:p>
        </w:tc>
        <w:tc>
          <w:tcPr>
            <w:tcW w:w="4800" w:type="dxa"/>
            <w:vAlign w:val="bottom"/>
          </w:tcPr>
          <w:p>
            <w:pPr>
              <w:ind w:left="600"/>
              <w:spacing w:after="0"/>
              <w:rPr>
                <w:sz w:val="20"/>
                <w:szCs w:val="20"/>
                <w:color w:val="auto"/>
              </w:rPr>
            </w:pPr>
            <w:r>
              <w:rPr>
                <w:rFonts w:ascii="Arial" w:cs="Arial" w:eastAsia="Arial" w:hAnsi="Arial"/>
                <w:sz w:val="18"/>
                <w:szCs w:val="18"/>
                <w:color w:val="auto"/>
              </w:rPr>
              <w:t>Director</w:t>
            </w:r>
          </w:p>
        </w:tc>
      </w:tr>
      <w:tr>
        <w:trPr>
          <w:trHeight w:val="245"/>
        </w:trPr>
        <w:tc>
          <w:tcPr>
            <w:tcW w:w="2160" w:type="dxa"/>
            <w:vAlign w:val="bottom"/>
          </w:tcPr>
          <w:p>
            <w:pPr>
              <w:ind w:left="20"/>
              <w:spacing w:after="0"/>
              <w:rPr>
                <w:sz w:val="20"/>
                <w:szCs w:val="20"/>
                <w:color w:val="auto"/>
              </w:rPr>
            </w:pPr>
            <w:r>
              <w:rPr>
                <w:rFonts w:ascii="Arial" w:cs="Arial" w:eastAsia="Arial" w:hAnsi="Arial"/>
                <w:sz w:val="18"/>
                <w:szCs w:val="18"/>
                <w:color w:val="auto"/>
              </w:rPr>
              <w:t>Madeline McIntosh</w:t>
            </w:r>
          </w:p>
        </w:tc>
        <w:tc>
          <w:tcPr>
            <w:tcW w:w="3160" w:type="dxa"/>
            <w:vAlign w:val="bottom"/>
          </w:tcPr>
          <w:p>
            <w:pPr>
              <w:spacing w:after="0"/>
              <w:rPr>
                <w:sz w:val="21"/>
                <w:szCs w:val="21"/>
                <w:color w:val="auto"/>
              </w:rPr>
            </w:pPr>
          </w:p>
        </w:tc>
        <w:tc>
          <w:tcPr>
            <w:tcW w:w="4800" w:type="dxa"/>
            <w:vAlign w:val="bottom"/>
          </w:tcPr>
          <w:p>
            <w:pPr>
              <w:spacing w:after="0"/>
              <w:rPr>
                <w:sz w:val="21"/>
                <w:szCs w:val="21"/>
                <w:color w:val="auto"/>
              </w:rPr>
            </w:pPr>
          </w:p>
        </w:tc>
      </w:tr>
      <w:tr>
        <w:trPr>
          <w:trHeight w:val="531"/>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Jonathan Miller</w:t>
            </w:r>
          </w:p>
        </w:tc>
        <w:tc>
          <w:tcPr>
            <w:tcW w:w="3160" w:type="dxa"/>
            <w:vAlign w:val="bottom"/>
            <w:tcBorders>
              <w:bottom w:val="single" w:sz="8" w:color="auto"/>
            </w:tcBorders>
          </w:tcPr>
          <w:p>
            <w:pPr>
              <w:spacing w:after="0"/>
              <w:rPr>
                <w:sz w:val="24"/>
                <w:szCs w:val="24"/>
                <w:color w:val="auto"/>
              </w:rPr>
            </w:pPr>
          </w:p>
        </w:tc>
        <w:tc>
          <w:tcPr>
            <w:tcW w:w="4800" w:type="dxa"/>
            <w:vAlign w:val="bottom"/>
          </w:tcPr>
          <w:p>
            <w:pPr>
              <w:ind w:left="600"/>
              <w:spacing w:after="0"/>
              <w:rPr>
                <w:sz w:val="20"/>
                <w:szCs w:val="20"/>
                <w:color w:val="auto"/>
              </w:rPr>
            </w:pPr>
            <w:r>
              <w:rPr>
                <w:rFonts w:ascii="Arial" w:cs="Arial" w:eastAsia="Arial" w:hAnsi="Arial"/>
                <w:sz w:val="18"/>
                <w:szCs w:val="18"/>
                <w:color w:val="auto"/>
              </w:rPr>
              <w:t>Director</w:t>
            </w:r>
          </w:p>
        </w:tc>
      </w:tr>
      <w:tr>
        <w:trPr>
          <w:trHeight w:val="245"/>
        </w:trPr>
        <w:tc>
          <w:tcPr>
            <w:tcW w:w="2160" w:type="dxa"/>
            <w:vAlign w:val="bottom"/>
          </w:tcPr>
          <w:p>
            <w:pPr>
              <w:ind w:left="20"/>
              <w:spacing w:after="0"/>
              <w:rPr>
                <w:sz w:val="20"/>
                <w:szCs w:val="20"/>
                <w:color w:val="auto"/>
              </w:rPr>
            </w:pPr>
            <w:r>
              <w:rPr>
                <w:rFonts w:ascii="Arial" w:cs="Arial" w:eastAsia="Arial" w:hAnsi="Arial"/>
                <w:sz w:val="18"/>
                <w:szCs w:val="18"/>
                <w:color w:val="auto"/>
              </w:rPr>
              <w:t>Jonathan Miller</w:t>
            </w:r>
          </w:p>
        </w:tc>
        <w:tc>
          <w:tcPr>
            <w:tcW w:w="3160" w:type="dxa"/>
            <w:vAlign w:val="bottom"/>
          </w:tcPr>
          <w:p>
            <w:pPr>
              <w:spacing w:after="0"/>
              <w:rPr>
                <w:sz w:val="21"/>
                <w:szCs w:val="21"/>
                <w:color w:val="auto"/>
              </w:rPr>
            </w:pPr>
          </w:p>
        </w:tc>
        <w:tc>
          <w:tcPr>
            <w:tcW w:w="4800" w:type="dxa"/>
            <w:vAlign w:val="bottom"/>
          </w:tcPr>
          <w:p>
            <w:pPr>
              <w:spacing w:after="0"/>
              <w:rPr>
                <w:sz w:val="21"/>
                <w:szCs w:val="21"/>
                <w:color w:val="auto"/>
              </w:rPr>
            </w:pPr>
          </w:p>
        </w:tc>
      </w:tr>
      <w:tr>
        <w:trPr>
          <w:trHeight w:val="531"/>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Kevin D. Mowbray</w:t>
            </w:r>
          </w:p>
        </w:tc>
        <w:tc>
          <w:tcPr>
            <w:tcW w:w="3160" w:type="dxa"/>
            <w:vAlign w:val="bottom"/>
            <w:tcBorders>
              <w:bottom w:val="single" w:sz="8" w:color="auto"/>
            </w:tcBorders>
          </w:tcPr>
          <w:p>
            <w:pPr>
              <w:spacing w:after="0"/>
              <w:rPr>
                <w:sz w:val="24"/>
                <w:szCs w:val="24"/>
                <w:color w:val="auto"/>
              </w:rPr>
            </w:pPr>
          </w:p>
        </w:tc>
        <w:tc>
          <w:tcPr>
            <w:tcW w:w="4800" w:type="dxa"/>
            <w:vAlign w:val="bottom"/>
          </w:tcPr>
          <w:p>
            <w:pPr>
              <w:ind w:left="600"/>
              <w:spacing w:after="0"/>
              <w:rPr>
                <w:sz w:val="20"/>
                <w:szCs w:val="20"/>
                <w:color w:val="auto"/>
              </w:rPr>
            </w:pPr>
            <w:r>
              <w:rPr>
                <w:rFonts w:ascii="Arial" w:cs="Arial" w:eastAsia="Arial" w:hAnsi="Arial"/>
                <w:sz w:val="18"/>
                <w:szCs w:val="18"/>
                <w:color w:val="auto"/>
              </w:rPr>
              <w:t>President and Chief Executive Officer, and Director</w:t>
            </w:r>
          </w:p>
        </w:tc>
      </w:tr>
      <w:tr>
        <w:trPr>
          <w:trHeight w:val="245"/>
        </w:trPr>
        <w:tc>
          <w:tcPr>
            <w:tcW w:w="2160" w:type="dxa"/>
            <w:vAlign w:val="bottom"/>
          </w:tcPr>
          <w:p>
            <w:pPr>
              <w:ind w:left="20"/>
              <w:spacing w:after="0"/>
              <w:rPr>
                <w:sz w:val="20"/>
                <w:szCs w:val="20"/>
                <w:color w:val="auto"/>
              </w:rPr>
            </w:pPr>
            <w:r>
              <w:rPr>
                <w:rFonts w:ascii="Arial" w:cs="Arial" w:eastAsia="Arial" w:hAnsi="Arial"/>
                <w:sz w:val="18"/>
                <w:szCs w:val="18"/>
                <w:color w:val="auto"/>
              </w:rPr>
              <w:t>Kevin D. Mowbray</w:t>
            </w:r>
          </w:p>
        </w:tc>
        <w:tc>
          <w:tcPr>
            <w:tcW w:w="3160" w:type="dxa"/>
            <w:vAlign w:val="bottom"/>
          </w:tcPr>
          <w:p>
            <w:pPr>
              <w:spacing w:after="0"/>
              <w:rPr>
                <w:sz w:val="21"/>
                <w:szCs w:val="21"/>
                <w:color w:val="auto"/>
              </w:rPr>
            </w:pPr>
          </w:p>
        </w:tc>
        <w:tc>
          <w:tcPr>
            <w:tcW w:w="4800" w:type="dxa"/>
            <w:vAlign w:val="bottom"/>
          </w:tcPr>
          <w:p>
            <w:pPr>
              <w:spacing w:after="0"/>
              <w:rPr>
                <w:sz w:val="21"/>
                <w:szCs w:val="21"/>
                <w:color w:val="auto"/>
              </w:rPr>
            </w:pPr>
          </w:p>
        </w:tc>
      </w:tr>
      <w:tr>
        <w:trPr>
          <w:trHeight w:val="531"/>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Timothy R. Millage</w:t>
            </w:r>
          </w:p>
        </w:tc>
        <w:tc>
          <w:tcPr>
            <w:tcW w:w="3160" w:type="dxa"/>
            <w:vAlign w:val="bottom"/>
            <w:tcBorders>
              <w:bottom w:val="single" w:sz="8" w:color="auto"/>
            </w:tcBorders>
          </w:tcPr>
          <w:p>
            <w:pPr>
              <w:spacing w:after="0"/>
              <w:rPr>
                <w:sz w:val="24"/>
                <w:szCs w:val="24"/>
                <w:color w:val="auto"/>
              </w:rPr>
            </w:pPr>
          </w:p>
        </w:tc>
        <w:tc>
          <w:tcPr>
            <w:tcW w:w="4800" w:type="dxa"/>
            <w:vAlign w:val="bottom"/>
          </w:tcPr>
          <w:p>
            <w:pPr>
              <w:ind w:left="600"/>
              <w:spacing w:after="0"/>
              <w:rPr>
                <w:sz w:val="20"/>
                <w:szCs w:val="20"/>
                <w:color w:val="auto"/>
              </w:rPr>
            </w:pPr>
            <w:r>
              <w:rPr>
                <w:rFonts w:ascii="Arial" w:cs="Arial" w:eastAsia="Arial" w:hAnsi="Arial"/>
                <w:sz w:val="18"/>
                <w:szCs w:val="18"/>
                <w:color w:val="auto"/>
                <w:w w:val="99"/>
              </w:rPr>
              <w:t>Vice President, Chief Financial Officer and Treasurer</w:t>
            </w:r>
          </w:p>
        </w:tc>
      </w:tr>
      <w:tr>
        <w:trPr>
          <w:trHeight w:val="245"/>
        </w:trPr>
        <w:tc>
          <w:tcPr>
            <w:tcW w:w="2160" w:type="dxa"/>
            <w:vAlign w:val="bottom"/>
          </w:tcPr>
          <w:p>
            <w:pPr>
              <w:ind w:left="20"/>
              <w:spacing w:after="0"/>
              <w:rPr>
                <w:sz w:val="20"/>
                <w:szCs w:val="20"/>
                <w:color w:val="auto"/>
              </w:rPr>
            </w:pPr>
            <w:r>
              <w:rPr>
                <w:rFonts w:ascii="Arial" w:cs="Arial" w:eastAsia="Arial" w:hAnsi="Arial"/>
                <w:sz w:val="18"/>
                <w:szCs w:val="18"/>
                <w:color w:val="auto"/>
              </w:rPr>
              <w:t>Timothy R. Millage</w:t>
            </w:r>
          </w:p>
        </w:tc>
        <w:tc>
          <w:tcPr>
            <w:tcW w:w="3160" w:type="dxa"/>
            <w:vAlign w:val="bottom"/>
          </w:tcPr>
          <w:p>
            <w:pPr>
              <w:spacing w:after="0"/>
              <w:rPr>
                <w:sz w:val="21"/>
                <w:szCs w:val="21"/>
                <w:color w:val="auto"/>
              </w:rPr>
            </w:pPr>
          </w:p>
        </w:tc>
        <w:tc>
          <w:tcPr>
            <w:tcW w:w="4800" w:type="dxa"/>
            <w:vAlign w:val="bottom"/>
          </w:tcPr>
          <w:p>
            <w:pPr>
              <w:spacing w:after="0"/>
              <w:rPr>
                <w:sz w:val="21"/>
                <w:szCs w:val="21"/>
                <w:color w:val="auto"/>
              </w:rPr>
            </w:pPr>
          </w:p>
        </w:tc>
      </w:tr>
      <w:tr>
        <w:trPr>
          <w:trHeight w:val="918"/>
        </w:trPr>
        <w:tc>
          <w:tcPr>
            <w:tcW w:w="2160" w:type="dxa"/>
            <w:vAlign w:val="bottom"/>
          </w:tcPr>
          <w:p>
            <w:pPr>
              <w:spacing w:after="0"/>
              <w:rPr>
                <w:sz w:val="24"/>
                <w:szCs w:val="24"/>
                <w:color w:val="auto"/>
              </w:rPr>
            </w:pPr>
          </w:p>
        </w:tc>
        <w:tc>
          <w:tcPr>
            <w:tcW w:w="7960" w:type="dxa"/>
            <w:vAlign w:val="bottom"/>
            <w:gridSpan w:val="2"/>
          </w:tcPr>
          <w:p>
            <w:pPr>
              <w:jc w:val="right"/>
              <w:ind w:right="4310"/>
              <w:spacing w:after="0"/>
              <w:rPr>
                <w:sz w:val="20"/>
                <w:szCs w:val="20"/>
                <w:color w:val="auto"/>
              </w:rPr>
            </w:pPr>
            <w:r>
              <w:rPr>
                <w:rFonts w:ascii="Arial" w:cs="Arial" w:eastAsia="Arial" w:hAnsi="Arial"/>
                <w:sz w:val="18"/>
                <w:szCs w:val="18"/>
                <w:color w:val="auto"/>
              </w:rPr>
              <w:t>74</w:t>
            </w:r>
          </w:p>
        </w:tc>
      </w:tr>
    </w:tbl>
    <w:p>
      <w:pPr>
        <w:sectPr>
          <w:pgSz w:w="11900" w:h="16838" w:orient="portrait"/>
          <w:cols w:equalWidth="0" w:num="1">
            <w:col w:w="11220"/>
          </w:cols>
          <w:pgMar w:left="320" w:top="122" w:right="359" w:bottom="144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40" w:type="dxa"/>
            <w:vAlign w:val="bottom"/>
            <w:gridSpan w:val="3"/>
          </w:tcPr>
          <w:p>
            <w:pPr>
              <w:jc w:val="center"/>
              <w:ind w:right="2420"/>
              <w:spacing w:after="0"/>
              <w:rPr>
                <w:sz w:val="20"/>
                <w:szCs w:val="20"/>
                <w:color w:val="auto"/>
              </w:rPr>
            </w:pPr>
            <w:r>
              <w:rPr>
                <w:rFonts w:ascii="Arial" w:cs="Arial" w:eastAsia="Arial" w:hAnsi="Arial"/>
                <w:sz w:val="18"/>
                <w:szCs w:val="18"/>
                <w:b w:val="1"/>
                <w:bCs w:val="1"/>
                <w:color w:val="auto"/>
                <w:w w:val="99"/>
              </w:rPr>
              <w:t>LEE ENTERPRISES, INCORPORATED</w:t>
            </w:r>
          </w:p>
        </w:tc>
      </w:tr>
      <w:tr>
        <w:trPr>
          <w:trHeight w:val="247"/>
        </w:trPr>
        <w:tc>
          <w:tcPr>
            <w:tcW w:w="2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80" w:type="dxa"/>
            <w:vAlign w:val="bottom"/>
            <w:gridSpan w:val="2"/>
          </w:tcPr>
          <w:p>
            <w:pPr>
              <w:jc w:val="center"/>
              <w:ind w:right="3200"/>
              <w:spacing w:after="0"/>
              <w:rPr>
                <w:sz w:val="20"/>
                <w:szCs w:val="20"/>
                <w:color w:val="auto"/>
              </w:rPr>
            </w:pPr>
            <w:r>
              <w:rPr>
                <w:rFonts w:ascii="Arial" w:cs="Arial" w:eastAsia="Arial" w:hAnsi="Arial"/>
                <w:sz w:val="18"/>
                <w:szCs w:val="18"/>
                <w:b w:val="1"/>
                <w:bCs w:val="1"/>
                <w:color w:val="auto"/>
                <w:w w:val="99"/>
              </w:rPr>
              <w:t>AND SUBSIDIARIES</w:t>
            </w:r>
          </w:p>
        </w:tc>
      </w:tr>
      <w:tr>
        <w:trPr>
          <w:trHeight w:val="393"/>
        </w:trPr>
        <w:tc>
          <w:tcPr>
            <w:tcW w:w="2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40" w:type="dxa"/>
            <w:vAlign w:val="bottom"/>
            <w:gridSpan w:val="3"/>
          </w:tcPr>
          <w:p>
            <w:pPr>
              <w:jc w:val="center"/>
              <w:ind w:right="2420"/>
              <w:spacing w:after="0"/>
              <w:rPr>
                <w:sz w:val="20"/>
                <w:szCs w:val="20"/>
                <w:color w:val="auto"/>
              </w:rPr>
            </w:pPr>
            <w:r>
              <w:rPr>
                <w:rFonts w:ascii="Arial" w:cs="Arial" w:eastAsia="Arial" w:hAnsi="Arial"/>
                <w:sz w:val="18"/>
                <w:szCs w:val="18"/>
                <w:b w:val="1"/>
                <w:bCs w:val="1"/>
                <w:color w:val="auto"/>
                <w:w w:val="99"/>
              </w:rPr>
              <w:t>2024 OFFICERS AND DIRECTORS</w:t>
            </w:r>
          </w:p>
        </w:tc>
      </w:tr>
      <w:tr>
        <w:trPr>
          <w:trHeight w:val="669"/>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LEE ENTERPRISES, INCORPORATED</w:t>
            </w:r>
          </w:p>
        </w:tc>
        <w:tc>
          <w:tcPr>
            <w:tcW w:w="760" w:type="dxa"/>
            <w:vAlign w:val="bottom"/>
          </w:tcPr>
          <w:p>
            <w:pPr>
              <w:spacing w:after="0"/>
              <w:rPr>
                <w:sz w:val="24"/>
                <w:szCs w:val="24"/>
                <w:color w:val="auto"/>
              </w:rPr>
            </w:pPr>
          </w:p>
        </w:tc>
        <w:tc>
          <w:tcPr>
            <w:tcW w:w="2900" w:type="dxa"/>
            <w:vAlign w:val="bottom"/>
            <w:tcBorders>
              <w:top w:val="single" w:sz="8" w:color="auto"/>
            </w:tcBorders>
          </w:tcPr>
          <w:p>
            <w:pPr>
              <w:spacing w:after="0"/>
              <w:rPr>
                <w:sz w:val="24"/>
                <w:szCs w:val="24"/>
                <w:color w:val="auto"/>
              </w:rPr>
            </w:pPr>
          </w:p>
        </w:tc>
        <w:tc>
          <w:tcPr>
            <w:tcW w:w="3180" w:type="dxa"/>
            <w:vAlign w:val="bottom"/>
          </w:tcPr>
          <w:p>
            <w:pPr>
              <w:spacing w:after="0"/>
              <w:rPr>
                <w:sz w:val="24"/>
                <w:szCs w:val="24"/>
                <w:color w:val="auto"/>
              </w:rPr>
            </w:pPr>
          </w:p>
        </w:tc>
      </w:tr>
      <w:tr>
        <w:trPr>
          <w:trHeight w:val="272"/>
        </w:trPr>
        <w:tc>
          <w:tcPr>
            <w:tcW w:w="32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Mary E. Junck</w:t>
            </w:r>
          </w:p>
        </w:tc>
        <w:tc>
          <w:tcPr>
            <w:tcW w:w="200" w:type="dxa"/>
            <w:vAlign w:val="bottom"/>
          </w:tcPr>
          <w:p>
            <w:pPr>
              <w:spacing w:after="0"/>
              <w:rPr>
                <w:sz w:val="23"/>
                <w:szCs w:val="23"/>
                <w:color w:val="auto"/>
              </w:rPr>
            </w:pPr>
          </w:p>
        </w:tc>
        <w:tc>
          <w:tcPr>
            <w:tcW w:w="6840" w:type="dxa"/>
            <w:vAlign w:val="bottom"/>
            <w:gridSpan w:val="3"/>
          </w:tcPr>
          <w:p>
            <w:pPr>
              <w:ind w:left="180"/>
              <w:spacing w:after="0"/>
              <w:rPr>
                <w:sz w:val="20"/>
                <w:szCs w:val="20"/>
                <w:color w:val="auto"/>
              </w:rPr>
            </w:pPr>
            <w:r>
              <w:rPr>
                <w:rFonts w:ascii="Arial" w:cs="Arial" w:eastAsia="Arial" w:hAnsi="Arial"/>
                <w:sz w:val="18"/>
                <w:szCs w:val="18"/>
                <w:color w:val="auto"/>
              </w:rPr>
              <w:t>Chairman and Director (E) (SEC Filer)</w:t>
            </w:r>
          </w:p>
        </w:tc>
      </w:tr>
      <w:tr>
        <w:trPr>
          <w:trHeight w:val="230"/>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Kevin D. Mowbray</w:t>
            </w:r>
          </w:p>
        </w:tc>
        <w:tc>
          <w:tcPr>
            <w:tcW w:w="6840" w:type="dxa"/>
            <w:vAlign w:val="bottom"/>
            <w:gridSpan w:val="3"/>
          </w:tcPr>
          <w:p>
            <w:pPr>
              <w:ind w:left="180"/>
              <w:spacing w:after="0"/>
              <w:rPr>
                <w:sz w:val="20"/>
                <w:szCs w:val="20"/>
                <w:color w:val="auto"/>
              </w:rPr>
            </w:pPr>
            <w:r>
              <w:rPr>
                <w:rFonts w:ascii="Arial" w:cs="Arial" w:eastAsia="Arial" w:hAnsi="Arial"/>
                <w:sz w:val="18"/>
                <w:szCs w:val="18"/>
                <w:color w:val="auto"/>
              </w:rPr>
              <w:t>President, Chief Executive Officer and Director (E) (SEC Filer)</w:t>
            </w:r>
          </w:p>
        </w:tc>
      </w:tr>
      <w:tr>
        <w:trPr>
          <w:trHeight w:val="229"/>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Timothy R. Millage</w:t>
            </w:r>
          </w:p>
        </w:tc>
        <w:tc>
          <w:tcPr>
            <w:tcW w:w="6840" w:type="dxa"/>
            <w:vAlign w:val="bottom"/>
            <w:gridSpan w:val="3"/>
          </w:tcPr>
          <w:p>
            <w:pPr>
              <w:ind w:left="180"/>
              <w:spacing w:after="0"/>
              <w:rPr>
                <w:sz w:val="20"/>
                <w:szCs w:val="20"/>
                <w:color w:val="auto"/>
              </w:rPr>
            </w:pPr>
            <w:r>
              <w:rPr>
                <w:rFonts w:ascii="Arial" w:cs="Arial" w:eastAsia="Arial" w:hAnsi="Arial"/>
                <w:sz w:val="18"/>
                <w:szCs w:val="18"/>
                <w:color w:val="auto"/>
              </w:rPr>
              <w:t>Vice President, Chief Financial Officer and Treasurer (E) (SEC Filer)</w:t>
            </w:r>
          </w:p>
        </w:tc>
      </w:tr>
      <w:tr>
        <w:trPr>
          <w:trHeight w:val="229"/>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Nathan E. Bekke</w:t>
            </w:r>
          </w:p>
        </w:tc>
        <w:tc>
          <w:tcPr>
            <w:tcW w:w="6840" w:type="dxa"/>
            <w:vAlign w:val="bottom"/>
            <w:gridSpan w:val="3"/>
          </w:tcPr>
          <w:p>
            <w:pPr>
              <w:ind w:left="180"/>
              <w:spacing w:after="0"/>
              <w:rPr>
                <w:sz w:val="20"/>
                <w:szCs w:val="20"/>
                <w:color w:val="auto"/>
              </w:rPr>
            </w:pPr>
            <w:r>
              <w:rPr>
                <w:rFonts w:ascii="Arial" w:cs="Arial" w:eastAsia="Arial" w:hAnsi="Arial"/>
                <w:sz w:val="18"/>
                <w:szCs w:val="18"/>
                <w:color w:val="auto"/>
              </w:rPr>
              <w:t>Senior Vice President, Operations and Audience Strategy (A) (SEC Filer)</w:t>
            </w:r>
          </w:p>
        </w:tc>
      </w:tr>
      <w:tr>
        <w:trPr>
          <w:trHeight w:val="230"/>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Les Ottolenghi</w:t>
            </w:r>
          </w:p>
        </w:tc>
        <w:tc>
          <w:tcPr>
            <w:tcW w:w="6840" w:type="dxa"/>
            <w:vAlign w:val="bottom"/>
            <w:gridSpan w:val="3"/>
          </w:tcPr>
          <w:p>
            <w:pPr>
              <w:ind w:left="180"/>
              <w:spacing w:after="0"/>
              <w:rPr>
                <w:sz w:val="20"/>
                <w:szCs w:val="20"/>
                <w:color w:val="auto"/>
              </w:rPr>
            </w:pPr>
            <w:r>
              <w:rPr>
                <w:rFonts w:ascii="Arial" w:cs="Arial" w:eastAsia="Arial" w:hAnsi="Arial"/>
                <w:sz w:val="18"/>
                <w:szCs w:val="18"/>
                <w:color w:val="auto"/>
              </w:rPr>
              <w:t>Chief Transformation and Commercial Officer (A) (SEC Filer)</w:t>
            </w:r>
          </w:p>
        </w:tc>
      </w:tr>
      <w:tr>
        <w:trPr>
          <w:trHeight w:val="229"/>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Joseph J. Battistoni</w:t>
            </w:r>
          </w:p>
        </w:tc>
        <w:tc>
          <w:tcPr>
            <w:tcW w:w="6840" w:type="dxa"/>
            <w:vAlign w:val="bottom"/>
            <w:gridSpan w:val="3"/>
          </w:tcPr>
          <w:p>
            <w:pPr>
              <w:ind w:left="180"/>
              <w:spacing w:after="0"/>
              <w:rPr>
                <w:sz w:val="20"/>
                <w:szCs w:val="20"/>
                <w:color w:val="auto"/>
              </w:rPr>
            </w:pPr>
            <w:r>
              <w:rPr>
                <w:rFonts w:ascii="Arial" w:cs="Arial" w:eastAsia="Arial" w:hAnsi="Arial"/>
                <w:sz w:val="18"/>
                <w:szCs w:val="18"/>
                <w:color w:val="auto"/>
              </w:rPr>
              <w:t>Vice President - Sales and Marketing (A) (SEC Filer)</w:t>
            </w:r>
          </w:p>
        </w:tc>
      </w:tr>
      <w:tr>
        <w:trPr>
          <w:trHeight w:val="229"/>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Jolene Sherman</w:t>
            </w:r>
          </w:p>
        </w:tc>
        <w:tc>
          <w:tcPr>
            <w:tcW w:w="6840" w:type="dxa"/>
            <w:vAlign w:val="bottom"/>
            <w:gridSpan w:val="3"/>
          </w:tcPr>
          <w:p>
            <w:pPr>
              <w:ind w:left="180"/>
              <w:spacing w:after="0"/>
              <w:rPr>
                <w:sz w:val="20"/>
                <w:szCs w:val="20"/>
                <w:color w:val="auto"/>
              </w:rPr>
            </w:pPr>
            <w:r>
              <w:rPr>
                <w:rFonts w:ascii="Arial" w:cs="Arial" w:eastAsia="Arial" w:hAnsi="Arial"/>
                <w:sz w:val="18"/>
                <w:szCs w:val="18"/>
                <w:color w:val="auto"/>
              </w:rPr>
              <w:t>Vice President - Business Development and Market Strategies (A) (SEC Filer)</w:t>
            </w:r>
          </w:p>
        </w:tc>
      </w:tr>
      <w:tr>
        <w:trPr>
          <w:trHeight w:val="230"/>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Astrid Garcia</w:t>
            </w:r>
          </w:p>
        </w:tc>
        <w:tc>
          <w:tcPr>
            <w:tcW w:w="6840" w:type="dxa"/>
            <w:vAlign w:val="bottom"/>
            <w:gridSpan w:val="3"/>
          </w:tcPr>
          <w:p>
            <w:pPr>
              <w:ind w:left="180"/>
              <w:spacing w:after="0"/>
              <w:rPr>
                <w:sz w:val="20"/>
                <w:szCs w:val="20"/>
                <w:color w:val="auto"/>
              </w:rPr>
            </w:pPr>
            <w:r>
              <w:rPr>
                <w:rFonts w:ascii="Arial" w:cs="Arial" w:eastAsia="Arial" w:hAnsi="Arial"/>
                <w:sz w:val="18"/>
                <w:szCs w:val="18"/>
                <w:color w:val="auto"/>
              </w:rPr>
              <w:t>Vice President – Human Resources and Legal, Chief Legal Officer (A) (SEC Filer)</w:t>
            </w:r>
          </w:p>
        </w:tc>
      </w:tr>
      <w:tr>
        <w:trPr>
          <w:trHeight w:val="229"/>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Jared Marks</w:t>
            </w:r>
          </w:p>
        </w:tc>
        <w:tc>
          <w:tcPr>
            <w:tcW w:w="6840" w:type="dxa"/>
            <w:vAlign w:val="bottom"/>
            <w:gridSpan w:val="3"/>
          </w:tcPr>
          <w:p>
            <w:pPr>
              <w:ind w:left="180"/>
              <w:spacing w:after="0"/>
              <w:rPr>
                <w:sz w:val="20"/>
                <w:szCs w:val="20"/>
                <w:color w:val="auto"/>
              </w:rPr>
            </w:pPr>
            <w:r>
              <w:rPr>
                <w:rFonts w:ascii="Arial" w:cs="Arial" w:eastAsia="Arial" w:hAnsi="Arial"/>
                <w:sz w:val="18"/>
                <w:szCs w:val="18"/>
                <w:color w:val="auto"/>
                <w:w w:val="99"/>
              </w:rPr>
              <w:t>Vice President - Corporate Finance Assistant Secretary and Assistant Treasurer (A)</w:t>
            </w:r>
          </w:p>
        </w:tc>
      </w:tr>
      <w:tr>
        <w:trPr>
          <w:trHeight w:val="230"/>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Josh Rinehults</w:t>
            </w:r>
          </w:p>
        </w:tc>
        <w:tc>
          <w:tcPr>
            <w:tcW w:w="6840" w:type="dxa"/>
            <w:vAlign w:val="bottom"/>
            <w:gridSpan w:val="3"/>
          </w:tcPr>
          <w:p>
            <w:pPr>
              <w:ind w:left="180"/>
              <w:spacing w:after="0"/>
              <w:rPr>
                <w:sz w:val="20"/>
                <w:szCs w:val="20"/>
                <w:color w:val="auto"/>
              </w:rPr>
            </w:pPr>
            <w:r>
              <w:rPr>
                <w:rFonts w:ascii="Arial" w:cs="Arial" w:eastAsia="Arial" w:hAnsi="Arial"/>
                <w:sz w:val="18"/>
                <w:szCs w:val="18"/>
                <w:color w:val="auto"/>
              </w:rPr>
              <w:t>Vice President - Operations Finance (A)</w:t>
            </w:r>
          </w:p>
        </w:tc>
      </w:tr>
      <w:tr>
        <w:trPr>
          <w:trHeight w:val="229"/>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Virginia Fletcher</w:t>
            </w:r>
          </w:p>
        </w:tc>
        <w:tc>
          <w:tcPr>
            <w:tcW w:w="6840" w:type="dxa"/>
            <w:vAlign w:val="bottom"/>
            <w:gridSpan w:val="3"/>
          </w:tcPr>
          <w:p>
            <w:pPr>
              <w:ind w:left="180"/>
              <w:spacing w:after="0"/>
              <w:rPr>
                <w:sz w:val="20"/>
                <w:szCs w:val="20"/>
                <w:color w:val="auto"/>
              </w:rPr>
            </w:pPr>
            <w:r>
              <w:rPr>
                <w:rFonts w:ascii="Arial" w:cs="Arial" w:eastAsia="Arial" w:hAnsi="Arial"/>
                <w:sz w:val="18"/>
                <w:szCs w:val="18"/>
                <w:color w:val="auto"/>
              </w:rPr>
              <w:t>Chief Information Officer (A)</w:t>
            </w:r>
          </w:p>
        </w:tc>
      </w:tr>
      <w:tr>
        <w:trPr>
          <w:trHeight w:val="229"/>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Jena Quinnell</w:t>
            </w:r>
          </w:p>
        </w:tc>
        <w:tc>
          <w:tcPr>
            <w:tcW w:w="6840" w:type="dxa"/>
            <w:vAlign w:val="bottom"/>
            <w:gridSpan w:val="3"/>
          </w:tcPr>
          <w:p>
            <w:pPr>
              <w:ind w:left="180"/>
              <w:spacing w:after="0"/>
              <w:rPr>
                <w:sz w:val="20"/>
                <w:szCs w:val="20"/>
                <w:color w:val="auto"/>
              </w:rPr>
            </w:pPr>
            <w:r>
              <w:rPr>
                <w:rFonts w:ascii="Arial" w:cs="Arial" w:eastAsia="Arial" w:hAnsi="Arial"/>
                <w:sz w:val="18"/>
                <w:szCs w:val="18"/>
                <w:color w:val="auto"/>
              </w:rPr>
              <w:t>Assistant Secretary and Assistant Treasurer (A)</w:t>
            </w:r>
          </w:p>
        </w:tc>
      </w:tr>
      <w:tr>
        <w:trPr>
          <w:trHeight w:val="230"/>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T.F. Olt III</w:t>
            </w:r>
          </w:p>
        </w:tc>
        <w:tc>
          <w:tcPr>
            <w:tcW w:w="6840" w:type="dxa"/>
            <w:vAlign w:val="bottom"/>
            <w:gridSpan w:val="3"/>
          </w:tcPr>
          <w:p>
            <w:pPr>
              <w:ind w:left="180"/>
              <w:spacing w:after="0"/>
              <w:rPr>
                <w:sz w:val="20"/>
                <w:szCs w:val="20"/>
                <w:color w:val="auto"/>
              </w:rPr>
            </w:pPr>
            <w:r>
              <w:rPr>
                <w:rFonts w:ascii="Arial" w:cs="Arial" w:eastAsia="Arial" w:hAnsi="Arial"/>
                <w:sz w:val="18"/>
                <w:szCs w:val="18"/>
                <w:color w:val="auto"/>
              </w:rPr>
              <w:t>Secretary and General Counsel (E) (SEC Filer)</w:t>
            </w:r>
          </w:p>
        </w:tc>
      </w:tr>
      <w:tr>
        <w:trPr>
          <w:trHeight w:val="229"/>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Steven C. Fletcher</w:t>
            </w:r>
          </w:p>
        </w:tc>
        <w:tc>
          <w:tcPr>
            <w:tcW w:w="6840" w:type="dxa"/>
            <w:vAlign w:val="bottom"/>
            <w:gridSpan w:val="3"/>
          </w:tcPr>
          <w:p>
            <w:pPr>
              <w:ind w:left="180"/>
              <w:spacing w:after="0"/>
              <w:rPr>
                <w:sz w:val="20"/>
                <w:szCs w:val="20"/>
                <w:color w:val="auto"/>
              </w:rPr>
            </w:pPr>
            <w:r>
              <w:rPr>
                <w:rFonts w:ascii="Arial" w:cs="Arial" w:eastAsia="Arial" w:hAnsi="Arial"/>
                <w:sz w:val="18"/>
                <w:szCs w:val="18"/>
                <w:color w:val="auto"/>
              </w:rPr>
              <w:t>Director (SEC Filer)</w:t>
            </w:r>
          </w:p>
        </w:tc>
      </w:tr>
      <w:tr>
        <w:trPr>
          <w:trHeight w:val="229"/>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Margaret R. Liberman</w:t>
            </w:r>
          </w:p>
        </w:tc>
        <w:tc>
          <w:tcPr>
            <w:tcW w:w="6840" w:type="dxa"/>
            <w:vAlign w:val="bottom"/>
            <w:gridSpan w:val="3"/>
          </w:tcPr>
          <w:p>
            <w:pPr>
              <w:ind w:left="180"/>
              <w:spacing w:after="0"/>
              <w:rPr>
                <w:sz w:val="20"/>
                <w:szCs w:val="20"/>
                <w:color w:val="auto"/>
              </w:rPr>
            </w:pPr>
            <w:r>
              <w:rPr>
                <w:rFonts w:ascii="Arial" w:cs="Arial" w:eastAsia="Arial" w:hAnsi="Arial"/>
                <w:sz w:val="18"/>
                <w:szCs w:val="18"/>
                <w:color w:val="auto"/>
              </w:rPr>
              <w:t>Director (SEC Filer)</w:t>
            </w:r>
          </w:p>
        </w:tc>
      </w:tr>
      <w:tr>
        <w:trPr>
          <w:trHeight w:val="230"/>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Brent M. Magid</w:t>
            </w:r>
          </w:p>
        </w:tc>
        <w:tc>
          <w:tcPr>
            <w:tcW w:w="6840" w:type="dxa"/>
            <w:vAlign w:val="bottom"/>
            <w:gridSpan w:val="3"/>
          </w:tcPr>
          <w:p>
            <w:pPr>
              <w:ind w:left="180"/>
              <w:spacing w:after="0"/>
              <w:rPr>
                <w:sz w:val="20"/>
                <w:szCs w:val="20"/>
                <w:color w:val="auto"/>
              </w:rPr>
            </w:pPr>
            <w:r>
              <w:rPr>
                <w:rFonts w:ascii="Arial" w:cs="Arial" w:eastAsia="Arial" w:hAnsi="Arial"/>
                <w:sz w:val="18"/>
                <w:szCs w:val="18"/>
                <w:color w:val="auto"/>
              </w:rPr>
              <w:t>Director (SEC Filer)</w:t>
            </w:r>
          </w:p>
        </w:tc>
      </w:tr>
      <w:tr>
        <w:trPr>
          <w:trHeight w:val="230"/>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Dr. Shaun McAlmont</w:t>
            </w:r>
          </w:p>
        </w:tc>
        <w:tc>
          <w:tcPr>
            <w:tcW w:w="6840" w:type="dxa"/>
            <w:vAlign w:val="bottom"/>
            <w:gridSpan w:val="3"/>
          </w:tcPr>
          <w:p>
            <w:pPr>
              <w:ind w:left="180"/>
              <w:spacing w:after="0"/>
              <w:rPr>
                <w:sz w:val="20"/>
                <w:szCs w:val="20"/>
                <w:color w:val="auto"/>
              </w:rPr>
            </w:pPr>
            <w:r>
              <w:rPr>
                <w:rFonts w:ascii="Arial" w:cs="Arial" w:eastAsia="Arial" w:hAnsi="Arial"/>
                <w:sz w:val="18"/>
                <w:szCs w:val="18"/>
                <w:color w:val="auto"/>
              </w:rPr>
              <w:t>Director (SEC Filer)</w:t>
            </w:r>
          </w:p>
        </w:tc>
      </w:tr>
      <w:tr>
        <w:trPr>
          <w:trHeight w:val="229"/>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Madeline McIntosh</w:t>
            </w:r>
          </w:p>
        </w:tc>
        <w:tc>
          <w:tcPr>
            <w:tcW w:w="6840" w:type="dxa"/>
            <w:vAlign w:val="bottom"/>
            <w:gridSpan w:val="3"/>
          </w:tcPr>
          <w:p>
            <w:pPr>
              <w:ind w:left="180"/>
              <w:spacing w:after="0"/>
              <w:rPr>
                <w:sz w:val="20"/>
                <w:szCs w:val="20"/>
                <w:color w:val="auto"/>
              </w:rPr>
            </w:pPr>
            <w:r>
              <w:rPr>
                <w:rFonts w:ascii="Arial" w:cs="Arial" w:eastAsia="Arial" w:hAnsi="Arial"/>
                <w:sz w:val="18"/>
                <w:szCs w:val="18"/>
                <w:color w:val="auto"/>
              </w:rPr>
              <w:t>Director (SEC Filer)</w:t>
            </w:r>
          </w:p>
        </w:tc>
      </w:tr>
      <w:tr>
        <w:trPr>
          <w:trHeight w:val="230"/>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Jonathan Miller</w:t>
            </w:r>
          </w:p>
        </w:tc>
        <w:tc>
          <w:tcPr>
            <w:tcW w:w="6840" w:type="dxa"/>
            <w:vAlign w:val="bottom"/>
            <w:gridSpan w:val="3"/>
          </w:tcPr>
          <w:p>
            <w:pPr>
              <w:ind w:left="180"/>
              <w:spacing w:after="0"/>
              <w:rPr>
                <w:sz w:val="20"/>
                <w:szCs w:val="20"/>
                <w:color w:val="auto"/>
              </w:rPr>
            </w:pPr>
            <w:r>
              <w:rPr>
                <w:rFonts w:ascii="Arial" w:cs="Arial" w:eastAsia="Arial" w:hAnsi="Arial"/>
                <w:sz w:val="18"/>
                <w:szCs w:val="18"/>
                <w:color w:val="auto"/>
              </w:rPr>
              <w:t>Director (SEC Filer)</w:t>
            </w:r>
          </w:p>
        </w:tc>
      </w:tr>
      <w:tr>
        <w:trPr>
          <w:trHeight w:val="239"/>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Herbert W. Moloney III</w:t>
            </w:r>
          </w:p>
        </w:tc>
        <w:tc>
          <w:tcPr>
            <w:tcW w:w="6840" w:type="dxa"/>
            <w:vAlign w:val="bottom"/>
            <w:gridSpan w:val="3"/>
          </w:tcPr>
          <w:p>
            <w:pPr>
              <w:ind w:left="180"/>
              <w:spacing w:after="0"/>
              <w:rPr>
                <w:sz w:val="20"/>
                <w:szCs w:val="20"/>
                <w:color w:val="auto"/>
              </w:rPr>
            </w:pPr>
            <w:r>
              <w:rPr>
                <w:rFonts w:ascii="Arial" w:cs="Arial" w:eastAsia="Arial" w:hAnsi="Arial"/>
                <w:sz w:val="18"/>
                <w:szCs w:val="18"/>
                <w:color w:val="auto"/>
              </w:rPr>
              <w:t>Director (SEC Filer)</w:t>
            </w:r>
          </w:p>
        </w:tc>
      </w:tr>
      <w:tr>
        <w:trPr>
          <w:trHeight w:val="490"/>
        </w:trPr>
        <w:tc>
          <w:tcPr>
            <w:tcW w:w="3420" w:type="dxa"/>
            <w:vAlign w:val="bottom"/>
            <w:gridSpan w:val="3"/>
          </w:tcPr>
          <w:p>
            <w:pPr>
              <w:spacing w:after="0"/>
              <w:rPr>
                <w:sz w:val="20"/>
                <w:szCs w:val="20"/>
                <w:color w:val="auto"/>
              </w:rPr>
            </w:pPr>
            <w:r>
              <w:rPr>
                <w:rFonts w:ascii="Arial" w:cs="Arial" w:eastAsia="Arial" w:hAnsi="Arial"/>
                <w:sz w:val="18"/>
                <w:szCs w:val="18"/>
                <w:color w:val="auto"/>
              </w:rPr>
              <w:t>(A) - Appointed Officer</w:t>
            </w:r>
          </w:p>
        </w:tc>
        <w:tc>
          <w:tcPr>
            <w:tcW w:w="7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03"/>
        </w:trPr>
        <w:tc>
          <w:tcPr>
            <w:tcW w:w="3420" w:type="dxa"/>
            <w:vAlign w:val="bottom"/>
            <w:gridSpan w:val="3"/>
          </w:tcPr>
          <w:p>
            <w:pPr>
              <w:spacing w:after="0" w:line="202" w:lineRule="exact"/>
              <w:rPr>
                <w:sz w:val="20"/>
                <w:szCs w:val="20"/>
                <w:color w:val="auto"/>
              </w:rPr>
            </w:pPr>
            <w:r>
              <w:rPr>
                <w:rFonts w:ascii="Arial" w:cs="Arial" w:eastAsia="Arial" w:hAnsi="Arial"/>
                <w:sz w:val="18"/>
                <w:szCs w:val="18"/>
                <w:color w:val="auto"/>
              </w:rPr>
              <w:t>(E) - Elected Officer</w:t>
            </w:r>
          </w:p>
        </w:tc>
        <w:tc>
          <w:tcPr>
            <w:tcW w:w="7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180" w:type="dxa"/>
            <w:vAlign w:val="bottom"/>
          </w:tcPr>
          <w:p>
            <w:pPr>
              <w:spacing w:after="0"/>
              <w:rPr>
                <w:sz w:val="17"/>
                <w:szCs w:val="17"/>
                <w:color w:val="auto"/>
              </w:rPr>
            </w:pPr>
          </w:p>
        </w:tc>
      </w:tr>
      <w:tr>
        <w:trPr>
          <w:trHeight w:val="239"/>
        </w:trPr>
        <w:tc>
          <w:tcPr>
            <w:tcW w:w="3420" w:type="dxa"/>
            <w:vAlign w:val="bottom"/>
            <w:gridSpan w:val="3"/>
          </w:tcPr>
          <w:p>
            <w:pPr>
              <w:spacing w:after="0"/>
              <w:rPr>
                <w:sz w:val="20"/>
                <w:szCs w:val="20"/>
                <w:color w:val="auto"/>
              </w:rPr>
            </w:pPr>
            <w:r>
              <w:rPr>
                <w:rFonts w:ascii="Arial" w:cs="Arial" w:eastAsia="Arial" w:hAnsi="Arial"/>
                <w:sz w:val="18"/>
                <w:szCs w:val="18"/>
                <w:color w:val="auto"/>
              </w:rPr>
              <w:t>(SEC Filer)</w:t>
            </w:r>
          </w:p>
        </w:tc>
        <w:tc>
          <w:tcPr>
            <w:tcW w:w="7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401"/>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LEE PUBLICATIONS, INC.</w:t>
            </w:r>
          </w:p>
        </w:tc>
        <w:tc>
          <w:tcPr>
            <w:tcW w:w="7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72"/>
        </w:trPr>
        <w:tc>
          <w:tcPr>
            <w:tcW w:w="2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Kevin D. Mowbray</w:t>
            </w:r>
          </w:p>
        </w:tc>
        <w:tc>
          <w:tcPr>
            <w:tcW w:w="1220" w:type="dxa"/>
            <w:vAlign w:val="bottom"/>
            <w:gridSpan w:val="2"/>
          </w:tcPr>
          <w:p>
            <w:pPr>
              <w:spacing w:after="0"/>
              <w:rPr>
                <w:sz w:val="23"/>
                <w:szCs w:val="23"/>
                <w:color w:val="auto"/>
              </w:rPr>
            </w:pPr>
          </w:p>
        </w:tc>
        <w:tc>
          <w:tcPr>
            <w:tcW w:w="6840" w:type="dxa"/>
            <w:vAlign w:val="bottom"/>
            <w:gridSpan w:val="3"/>
          </w:tcPr>
          <w:p>
            <w:pPr>
              <w:ind w:left="180"/>
              <w:spacing w:after="0"/>
              <w:rPr>
                <w:sz w:val="20"/>
                <w:szCs w:val="20"/>
                <w:color w:val="auto"/>
              </w:rPr>
            </w:pPr>
            <w:r>
              <w:rPr>
                <w:rFonts w:ascii="Arial" w:cs="Arial" w:eastAsia="Arial" w:hAnsi="Arial"/>
                <w:sz w:val="18"/>
                <w:szCs w:val="18"/>
                <w:color w:val="auto"/>
              </w:rPr>
              <w:t>President and Director</w:t>
            </w:r>
          </w:p>
        </w:tc>
      </w:tr>
      <w:tr>
        <w:trPr>
          <w:trHeight w:val="230"/>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Timothy R. Millage</w:t>
            </w:r>
          </w:p>
        </w:tc>
        <w:tc>
          <w:tcPr>
            <w:tcW w:w="6840" w:type="dxa"/>
            <w:vAlign w:val="bottom"/>
            <w:gridSpan w:val="3"/>
          </w:tcPr>
          <w:p>
            <w:pPr>
              <w:ind w:left="180"/>
              <w:spacing w:after="0"/>
              <w:rPr>
                <w:sz w:val="20"/>
                <w:szCs w:val="20"/>
                <w:color w:val="auto"/>
              </w:rPr>
            </w:pPr>
            <w:r>
              <w:rPr>
                <w:rFonts w:ascii="Arial" w:cs="Arial" w:eastAsia="Arial" w:hAnsi="Arial"/>
                <w:sz w:val="18"/>
                <w:szCs w:val="18"/>
                <w:color w:val="auto"/>
              </w:rPr>
              <w:t>Vice President and Treasurer</w:t>
            </w:r>
          </w:p>
        </w:tc>
      </w:tr>
      <w:tr>
        <w:trPr>
          <w:trHeight w:val="229"/>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T.F. Olt III</w:t>
            </w:r>
          </w:p>
        </w:tc>
        <w:tc>
          <w:tcPr>
            <w:tcW w:w="6840" w:type="dxa"/>
            <w:vAlign w:val="bottom"/>
            <w:gridSpan w:val="3"/>
          </w:tcPr>
          <w:p>
            <w:pPr>
              <w:ind w:left="180"/>
              <w:spacing w:after="0"/>
              <w:rPr>
                <w:sz w:val="20"/>
                <w:szCs w:val="20"/>
                <w:color w:val="auto"/>
              </w:rPr>
            </w:pPr>
            <w:r>
              <w:rPr>
                <w:rFonts w:ascii="Arial" w:cs="Arial" w:eastAsia="Arial" w:hAnsi="Arial"/>
                <w:sz w:val="18"/>
                <w:szCs w:val="18"/>
                <w:color w:val="auto"/>
              </w:rPr>
              <w:t>Secretary and Director</w:t>
            </w:r>
          </w:p>
        </w:tc>
      </w:tr>
      <w:tr>
        <w:trPr>
          <w:trHeight w:val="230"/>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Jared Marks</w:t>
            </w:r>
          </w:p>
        </w:tc>
        <w:tc>
          <w:tcPr>
            <w:tcW w:w="6840" w:type="dxa"/>
            <w:vAlign w:val="bottom"/>
            <w:gridSpan w:val="3"/>
          </w:tcPr>
          <w:p>
            <w:pPr>
              <w:ind w:left="180"/>
              <w:spacing w:after="0"/>
              <w:rPr>
                <w:sz w:val="20"/>
                <w:szCs w:val="20"/>
                <w:color w:val="auto"/>
              </w:rPr>
            </w:pPr>
            <w:r>
              <w:rPr>
                <w:rFonts w:ascii="Arial" w:cs="Arial" w:eastAsia="Arial" w:hAnsi="Arial"/>
                <w:sz w:val="18"/>
                <w:szCs w:val="18"/>
                <w:color w:val="auto"/>
              </w:rPr>
              <w:t>Assistant Secretary and Assistant Treasurer</w:t>
            </w:r>
          </w:p>
        </w:tc>
      </w:tr>
      <w:tr>
        <w:trPr>
          <w:trHeight w:val="230"/>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Jena Quinnell</w:t>
            </w:r>
          </w:p>
        </w:tc>
        <w:tc>
          <w:tcPr>
            <w:tcW w:w="6840" w:type="dxa"/>
            <w:vAlign w:val="bottom"/>
            <w:gridSpan w:val="3"/>
          </w:tcPr>
          <w:p>
            <w:pPr>
              <w:ind w:left="180"/>
              <w:spacing w:after="0"/>
              <w:rPr>
                <w:sz w:val="20"/>
                <w:szCs w:val="20"/>
                <w:color w:val="auto"/>
              </w:rPr>
            </w:pPr>
            <w:r>
              <w:rPr>
                <w:rFonts w:ascii="Arial" w:cs="Arial" w:eastAsia="Arial" w:hAnsi="Arial"/>
                <w:sz w:val="18"/>
                <w:szCs w:val="18"/>
                <w:color w:val="auto"/>
              </w:rPr>
              <w:t>Assistant Secretary and Assistant Treasurer</w:t>
            </w:r>
          </w:p>
        </w:tc>
      </w:tr>
      <w:tr>
        <w:trPr>
          <w:trHeight w:val="239"/>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Astrid Garcia</w:t>
            </w:r>
          </w:p>
        </w:tc>
        <w:tc>
          <w:tcPr>
            <w:tcW w:w="6840" w:type="dxa"/>
            <w:vAlign w:val="bottom"/>
            <w:gridSpan w:val="3"/>
          </w:tcPr>
          <w:p>
            <w:pPr>
              <w:ind w:left="180"/>
              <w:spacing w:after="0"/>
              <w:rPr>
                <w:sz w:val="20"/>
                <w:szCs w:val="20"/>
                <w:color w:val="auto"/>
              </w:rPr>
            </w:pPr>
            <w:r>
              <w:rPr>
                <w:rFonts w:ascii="Arial" w:cs="Arial" w:eastAsia="Arial" w:hAnsi="Arial"/>
                <w:sz w:val="18"/>
                <w:szCs w:val="18"/>
                <w:color w:val="auto"/>
              </w:rPr>
              <w:t>Vice President - Legal</w:t>
            </w:r>
          </w:p>
        </w:tc>
      </w:tr>
    </w:tbl>
    <w:p>
      <w:pPr>
        <w:sectPr>
          <w:pgSz w:w="11900" w:h="16838" w:orient="portrait"/>
          <w:cols w:equalWidth="0" w:num="1">
            <w:col w:w="10260"/>
          </w:cols>
          <w:pgMar w:left="320" w:top="1399" w:right="1319" w:bottom="1440" w:gutter="0" w:footer="0" w:header="0"/>
        </w:sectPr>
      </w:pPr>
    </w:p>
    <w:bookmarkStart w:id="77" w:name="page78"/>
    <w:bookmarkEnd w:id="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0" w:type="dxa"/>
            <w:vAlign w:val="bottom"/>
            <w:gridSpan w:val="3"/>
          </w:tcPr>
          <w:p>
            <w:pPr>
              <w:spacing w:after="0"/>
              <w:rPr>
                <w:sz w:val="20"/>
                <w:szCs w:val="20"/>
                <w:color w:val="auto"/>
              </w:rPr>
            </w:pPr>
            <w:r>
              <w:rPr>
                <w:rFonts w:ascii="Arial" w:cs="Arial" w:eastAsia="Arial" w:hAnsi="Arial"/>
                <w:sz w:val="18"/>
                <w:szCs w:val="18"/>
                <w:b w:val="1"/>
                <w:bCs w:val="1"/>
                <w:color w:val="auto"/>
              </w:rPr>
              <w:t>THE LEE FOUNDATION</w:t>
            </w:r>
          </w:p>
        </w:tc>
        <w:tc>
          <w:tcPr>
            <w:tcW w:w="4300" w:type="dxa"/>
            <w:vAlign w:val="bottom"/>
          </w:tcPr>
          <w:p>
            <w:pPr>
              <w:spacing w:after="0"/>
              <w:rPr>
                <w:sz w:val="17"/>
                <w:szCs w:val="17"/>
                <w:color w:val="auto"/>
              </w:rPr>
            </w:pPr>
          </w:p>
        </w:tc>
      </w:tr>
      <w:tr>
        <w:trPr>
          <w:trHeight w:val="272"/>
        </w:trPr>
        <w:tc>
          <w:tcPr>
            <w:tcW w:w="20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Kevin D. Mowbray</w:t>
            </w:r>
          </w:p>
        </w:tc>
        <w:tc>
          <w:tcPr>
            <w:tcW w:w="800" w:type="dxa"/>
            <w:vAlign w:val="bottom"/>
          </w:tcPr>
          <w:p>
            <w:pPr>
              <w:spacing w:after="0"/>
              <w:rPr>
                <w:sz w:val="23"/>
                <w:szCs w:val="23"/>
                <w:color w:val="auto"/>
              </w:rPr>
            </w:pPr>
          </w:p>
        </w:tc>
        <w:tc>
          <w:tcPr>
            <w:tcW w:w="4300" w:type="dxa"/>
            <w:vAlign w:val="bottom"/>
          </w:tcPr>
          <w:p>
            <w:pPr>
              <w:ind w:left="800"/>
              <w:spacing w:after="0"/>
              <w:rPr>
                <w:sz w:val="20"/>
                <w:szCs w:val="20"/>
                <w:color w:val="auto"/>
              </w:rPr>
            </w:pPr>
            <w:r>
              <w:rPr>
                <w:rFonts w:ascii="Arial" w:cs="Arial" w:eastAsia="Arial" w:hAnsi="Arial"/>
                <w:sz w:val="18"/>
                <w:szCs w:val="18"/>
                <w:color w:val="auto"/>
              </w:rPr>
              <w:t>President and Director</w:t>
            </w:r>
          </w:p>
        </w:tc>
      </w:tr>
      <w:tr>
        <w:trPr>
          <w:trHeight w:val="229"/>
        </w:trPr>
        <w:tc>
          <w:tcPr>
            <w:tcW w:w="2800" w:type="dxa"/>
            <w:vAlign w:val="bottom"/>
            <w:gridSpan w:val="3"/>
          </w:tcPr>
          <w:p>
            <w:pPr>
              <w:ind w:left="20"/>
              <w:spacing w:after="0"/>
              <w:rPr>
                <w:sz w:val="20"/>
                <w:szCs w:val="20"/>
                <w:color w:val="auto"/>
              </w:rPr>
            </w:pPr>
            <w:r>
              <w:rPr>
                <w:rFonts w:ascii="Arial" w:cs="Arial" w:eastAsia="Arial" w:hAnsi="Arial"/>
                <w:sz w:val="18"/>
                <w:szCs w:val="18"/>
                <w:color w:val="auto"/>
              </w:rPr>
              <w:t>Nathan E. Bekke</w:t>
            </w:r>
          </w:p>
        </w:tc>
        <w:tc>
          <w:tcPr>
            <w:tcW w:w="4300" w:type="dxa"/>
            <w:vAlign w:val="bottom"/>
          </w:tcPr>
          <w:p>
            <w:pPr>
              <w:ind w:left="800"/>
              <w:spacing w:after="0"/>
              <w:rPr>
                <w:sz w:val="20"/>
                <w:szCs w:val="20"/>
                <w:color w:val="auto"/>
              </w:rPr>
            </w:pPr>
            <w:r>
              <w:rPr>
                <w:rFonts w:ascii="Arial" w:cs="Arial" w:eastAsia="Arial" w:hAnsi="Arial"/>
                <w:sz w:val="18"/>
                <w:szCs w:val="18"/>
                <w:color w:val="auto"/>
              </w:rPr>
              <w:t>Vice President and Director</w:t>
            </w:r>
          </w:p>
        </w:tc>
      </w:tr>
      <w:tr>
        <w:trPr>
          <w:trHeight w:val="229"/>
        </w:trPr>
        <w:tc>
          <w:tcPr>
            <w:tcW w:w="2800" w:type="dxa"/>
            <w:vAlign w:val="bottom"/>
            <w:gridSpan w:val="3"/>
          </w:tcPr>
          <w:p>
            <w:pPr>
              <w:ind w:left="20"/>
              <w:spacing w:after="0"/>
              <w:rPr>
                <w:sz w:val="20"/>
                <w:szCs w:val="20"/>
                <w:color w:val="auto"/>
              </w:rPr>
            </w:pPr>
            <w:r>
              <w:rPr>
                <w:rFonts w:ascii="Arial" w:cs="Arial" w:eastAsia="Arial" w:hAnsi="Arial"/>
                <w:sz w:val="18"/>
                <w:szCs w:val="18"/>
                <w:color w:val="auto"/>
              </w:rPr>
              <w:t>Timothy R. Millage</w:t>
            </w:r>
          </w:p>
        </w:tc>
        <w:tc>
          <w:tcPr>
            <w:tcW w:w="4300" w:type="dxa"/>
            <w:vAlign w:val="bottom"/>
          </w:tcPr>
          <w:p>
            <w:pPr>
              <w:ind w:left="800"/>
              <w:spacing w:after="0"/>
              <w:rPr>
                <w:sz w:val="20"/>
                <w:szCs w:val="20"/>
                <w:color w:val="auto"/>
              </w:rPr>
            </w:pPr>
            <w:r>
              <w:rPr>
                <w:rFonts w:ascii="Arial" w:cs="Arial" w:eastAsia="Arial" w:hAnsi="Arial"/>
                <w:sz w:val="18"/>
                <w:szCs w:val="18"/>
                <w:color w:val="auto"/>
              </w:rPr>
              <w:t>Secretary, Treasurer and Director</w:t>
            </w:r>
          </w:p>
        </w:tc>
      </w:tr>
      <w:tr>
        <w:trPr>
          <w:trHeight w:val="239"/>
        </w:trPr>
        <w:tc>
          <w:tcPr>
            <w:tcW w:w="2800" w:type="dxa"/>
            <w:vAlign w:val="bottom"/>
            <w:gridSpan w:val="3"/>
          </w:tcPr>
          <w:p>
            <w:pPr>
              <w:ind w:left="20"/>
              <w:spacing w:after="0"/>
              <w:rPr>
                <w:sz w:val="20"/>
                <w:szCs w:val="20"/>
                <w:color w:val="auto"/>
              </w:rPr>
            </w:pPr>
            <w:r>
              <w:rPr>
                <w:rFonts w:ascii="Arial" w:cs="Arial" w:eastAsia="Arial" w:hAnsi="Arial"/>
                <w:sz w:val="18"/>
                <w:szCs w:val="18"/>
                <w:color w:val="auto"/>
              </w:rPr>
              <w:t>Astrid Garcia</w:t>
            </w:r>
          </w:p>
        </w:tc>
        <w:tc>
          <w:tcPr>
            <w:tcW w:w="4300" w:type="dxa"/>
            <w:vAlign w:val="bottom"/>
          </w:tcPr>
          <w:p>
            <w:pPr>
              <w:ind w:left="800"/>
              <w:spacing w:after="0"/>
              <w:rPr>
                <w:sz w:val="20"/>
                <w:szCs w:val="20"/>
                <w:color w:val="auto"/>
              </w:rPr>
            </w:pPr>
            <w:r>
              <w:rPr>
                <w:rFonts w:ascii="Arial" w:cs="Arial" w:eastAsia="Arial" w:hAnsi="Arial"/>
                <w:sz w:val="18"/>
                <w:szCs w:val="18"/>
                <w:color w:val="auto"/>
              </w:rPr>
              <w:t>Director</w:t>
            </w:r>
          </w:p>
        </w:tc>
      </w:tr>
      <w:tr>
        <w:trPr>
          <w:trHeight w:val="495"/>
        </w:trPr>
        <w:tc>
          <w:tcPr>
            <w:tcW w:w="2800" w:type="dxa"/>
            <w:vAlign w:val="bottom"/>
            <w:gridSpan w:val="3"/>
          </w:tcPr>
          <w:p>
            <w:pPr>
              <w:spacing w:after="0"/>
              <w:rPr>
                <w:sz w:val="20"/>
                <w:szCs w:val="20"/>
                <w:color w:val="auto"/>
              </w:rPr>
            </w:pPr>
            <w:r>
              <w:rPr>
                <w:rFonts w:ascii="Arial" w:cs="Arial" w:eastAsia="Arial" w:hAnsi="Arial"/>
                <w:sz w:val="18"/>
                <w:szCs w:val="18"/>
                <w:b w:val="1"/>
                <w:bCs w:val="1"/>
                <w:color w:val="auto"/>
              </w:rPr>
              <w:t>ACCUDATA, INC.</w:t>
            </w:r>
          </w:p>
        </w:tc>
        <w:tc>
          <w:tcPr>
            <w:tcW w:w="4300" w:type="dxa"/>
            <w:vAlign w:val="bottom"/>
          </w:tcPr>
          <w:p>
            <w:pPr>
              <w:spacing w:after="0"/>
              <w:rPr>
                <w:sz w:val="24"/>
                <w:szCs w:val="24"/>
                <w:color w:val="auto"/>
              </w:rPr>
            </w:pPr>
          </w:p>
        </w:tc>
      </w:tr>
      <w:tr>
        <w:trPr>
          <w:trHeight w:val="272"/>
        </w:trPr>
        <w:tc>
          <w:tcPr>
            <w:tcW w:w="1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Nathan E. Bekke</w:t>
            </w:r>
          </w:p>
        </w:tc>
        <w:tc>
          <w:tcPr>
            <w:tcW w:w="1340" w:type="dxa"/>
            <w:vAlign w:val="bottom"/>
            <w:gridSpan w:val="2"/>
          </w:tcPr>
          <w:p>
            <w:pPr>
              <w:spacing w:after="0"/>
              <w:rPr>
                <w:sz w:val="23"/>
                <w:szCs w:val="23"/>
                <w:color w:val="auto"/>
              </w:rPr>
            </w:pPr>
          </w:p>
        </w:tc>
        <w:tc>
          <w:tcPr>
            <w:tcW w:w="4300" w:type="dxa"/>
            <w:vAlign w:val="bottom"/>
          </w:tcPr>
          <w:p>
            <w:pPr>
              <w:ind w:left="800"/>
              <w:spacing w:after="0"/>
              <w:rPr>
                <w:sz w:val="20"/>
                <w:szCs w:val="20"/>
                <w:color w:val="auto"/>
              </w:rPr>
            </w:pPr>
            <w:r>
              <w:rPr>
                <w:rFonts w:ascii="Arial" w:cs="Arial" w:eastAsia="Arial" w:hAnsi="Arial"/>
                <w:sz w:val="18"/>
                <w:szCs w:val="18"/>
                <w:color w:val="auto"/>
              </w:rPr>
              <w:t>President and Director</w:t>
            </w:r>
          </w:p>
        </w:tc>
      </w:tr>
      <w:tr>
        <w:trPr>
          <w:trHeight w:val="230"/>
        </w:trPr>
        <w:tc>
          <w:tcPr>
            <w:tcW w:w="2800" w:type="dxa"/>
            <w:vAlign w:val="bottom"/>
            <w:gridSpan w:val="3"/>
          </w:tcPr>
          <w:p>
            <w:pPr>
              <w:ind w:left="20"/>
              <w:spacing w:after="0"/>
              <w:rPr>
                <w:sz w:val="20"/>
                <w:szCs w:val="20"/>
                <w:color w:val="auto"/>
              </w:rPr>
            </w:pPr>
            <w:r>
              <w:rPr>
                <w:rFonts w:ascii="Arial" w:cs="Arial" w:eastAsia="Arial" w:hAnsi="Arial"/>
                <w:sz w:val="18"/>
                <w:szCs w:val="18"/>
                <w:color w:val="auto"/>
              </w:rPr>
              <w:t>Timothy R. Millage</w:t>
            </w:r>
          </w:p>
        </w:tc>
        <w:tc>
          <w:tcPr>
            <w:tcW w:w="4300" w:type="dxa"/>
            <w:vAlign w:val="bottom"/>
          </w:tcPr>
          <w:p>
            <w:pPr>
              <w:ind w:left="800"/>
              <w:spacing w:after="0"/>
              <w:rPr>
                <w:sz w:val="20"/>
                <w:szCs w:val="20"/>
                <w:color w:val="auto"/>
              </w:rPr>
            </w:pPr>
            <w:r>
              <w:rPr>
                <w:rFonts w:ascii="Arial" w:cs="Arial" w:eastAsia="Arial" w:hAnsi="Arial"/>
                <w:sz w:val="18"/>
                <w:szCs w:val="18"/>
                <w:color w:val="auto"/>
              </w:rPr>
              <w:t>Vice President and Treasurer</w:t>
            </w:r>
          </w:p>
        </w:tc>
      </w:tr>
      <w:tr>
        <w:trPr>
          <w:trHeight w:val="229"/>
        </w:trPr>
        <w:tc>
          <w:tcPr>
            <w:tcW w:w="2800" w:type="dxa"/>
            <w:vAlign w:val="bottom"/>
            <w:gridSpan w:val="3"/>
          </w:tcPr>
          <w:p>
            <w:pPr>
              <w:ind w:left="20"/>
              <w:spacing w:after="0"/>
              <w:rPr>
                <w:sz w:val="20"/>
                <w:szCs w:val="20"/>
                <w:color w:val="auto"/>
              </w:rPr>
            </w:pPr>
            <w:r>
              <w:rPr>
                <w:rFonts w:ascii="Arial" w:cs="Arial" w:eastAsia="Arial" w:hAnsi="Arial"/>
                <w:sz w:val="18"/>
                <w:szCs w:val="18"/>
                <w:color w:val="auto"/>
              </w:rPr>
              <w:t>T.F. Olt III</w:t>
            </w:r>
          </w:p>
        </w:tc>
        <w:tc>
          <w:tcPr>
            <w:tcW w:w="4300" w:type="dxa"/>
            <w:vAlign w:val="bottom"/>
          </w:tcPr>
          <w:p>
            <w:pPr>
              <w:ind w:left="800"/>
              <w:spacing w:after="0"/>
              <w:rPr>
                <w:sz w:val="20"/>
                <w:szCs w:val="20"/>
                <w:color w:val="auto"/>
              </w:rPr>
            </w:pPr>
            <w:r>
              <w:rPr>
                <w:rFonts w:ascii="Arial" w:cs="Arial" w:eastAsia="Arial" w:hAnsi="Arial"/>
                <w:sz w:val="18"/>
                <w:szCs w:val="18"/>
                <w:color w:val="auto"/>
              </w:rPr>
              <w:t>Secretary and Director</w:t>
            </w:r>
          </w:p>
        </w:tc>
      </w:tr>
      <w:tr>
        <w:trPr>
          <w:trHeight w:val="230"/>
        </w:trPr>
        <w:tc>
          <w:tcPr>
            <w:tcW w:w="2800" w:type="dxa"/>
            <w:vAlign w:val="bottom"/>
            <w:gridSpan w:val="3"/>
          </w:tcPr>
          <w:p>
            <w:pPr>
              <w:ind w:left="20"/>
              <w:spacing w:after="0"/>
              <w:rPr>
                <w:sz w:val="20"/>
                <w:szCs w:val="20"/>
                <w:color w:val="auto"/>
              </w:rPr>
            </w:pPr>
            <w:r>
              <w:rPr>
                <w:rFonts w:ascii="Arial" w:cs="Arial" w:eastAsia="Arial" w:hAnsi="Arial"/>
                <w:sz w:val="18"/>
                <w:szCs w:val="18"/>
                <w:color w:val="auto"/>
              </w:rPr>
              <w:t>Jared Marks</w:t>
            </w:r>
          </w:p>
        </w:tc>
        <w:tc>
          <w:tcPr>
            <w:tcW w:w="4300" w:type="dxa"/>
            <w:vAlign w:val="bottom"/>
          </w:tcPr>
          <w:p>
            <w:pPr>
              <w:ind w:left="800"/>
              <w:spacing w:after="0"/>
              <w:rPr>
                <w:sz w:val="20"/>
                <w:szCs w:val="20"/>
                <w:color w:val="auto"/>
              </w:rPr>
            </w:pPr>
            <w:r>
              <w:rPr>
                <w:rFonts w:ascii="Arial" w:cs="Arial" w:eastAsia="Arial" w:hAnsi="Arial"/>
                <w:sz w:val="18"/>
                <w:szCs w:val="18"/>
                <w:color w:val="auto"/>
                <w:w w:val="99"/>
              </w:rPr>
              <w:t>Assistant Secretary and Assistant Treasurer</w:t>
            </w:r>
          </w:p>
        </w:tc>
      </w:tr>
      <w:tr>
        <w:trPr>
          <w:trHeight w:val="229"/>
        </w:trPr>
        <w:tc>
          <w:tcPr>
            <w:tcW w:w="2800" w:type="dxa"/>
            <w:vAlign w:val="bottom"/>
            <w:gridSpan w:val="3"/>
          </w:tcPr>
          <w:p>
            <w:pPr>
              <w:ind w:left="20"/>
              <w:spacing w:after="0"/>
              <w:rPr>
                <w:sz w:val="20"/>
                <w:szCs w:val="20"/>
                <w:color w:val="auto"/>
              </w:rPr>
            </w:pPr>
            <w:r>
              <w:rPr>
                <w:rFonts w:ascii="Arial" w:cs="Arial" w:eastAsia="Arial" w:hAnsi="Arial"/>
                <w:sz w:val="18"/>
                <w:szCs w:val="18"/>
                <w:color w:val="auto"/>
              </w:rPr>
              <w:t>Jena Quinnell</w:t>
            </w:r>
          </w:p>
        </w:tc>
        <w:tc>
          <w:tcPr>
            <w:tcW w:w="4300" w:type="dxa"/>
            <w:vAlign w:val="bottom"/>
          </w:tcPr>
          <w:p>
            <w:pPr>
              <w:ind w:left="800"/>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9"/>
        </w:trPr>
        <w:tc>
          <w:tcPr>
            <w:tcW w:w="2800" w:type="dxa"/>
            <w:vAlign w:val="bottom"/>
            <w:gridSpan w:val="3"/>
          </w:tcPr>
          <w:p>
            <w:pPr>
              <w:ind w:left="20"/>
              <w:spacing w:after="0"/>
              <w:rPr>
                <w:sz w:val="20"/>
                <w:szCs w:val="20"/>
                <w:color w:val="auto"/>
              </w:rPr>
            </w:pPr>
            <w:r>
              <w:rPr>
                <w:rFonts w:ascii="Arial" w:cs="Arial" w:eastAsia="Arial" w:hAnsi="Arial"/>
                <w:sz w:val="18"/>
                <w:szCs w:val="18"/>
                <w:color w:val="auto"/>
              </w:rPr>
              <w:t>Astrid Garcia</w:t>
            </w:r>
          </w:p>
        </w:tc>
        <w:tc>
          <w:tcPr>
            <w:tcW w:w="4300" w:type="dxa"/>
            <w:vAlign w:val="bottom"/>
          </w:tcPr>
          <w:p>
            <w:pPr>
              <w:ind w:left="800"/>
              <w:spacing w:after="0"/>
              <w:rPr>
                <w:sz w:val="20"/>
                <w:szCs w:val="20"/>
                <w:color w:val="auto"/>
              </w:rPr>
            </w:pPr>
            <w:r>
              <w:rPr>
                <w:rFonts w:ascii="Arial" w:cs="Arial" w:eastAsia="Arial" w:hAnsi="Arial"/>
                <w:sz w:val="18"/>
                <w:szCs w:val="18"/>
                <w:color w:val="auto"/>
              </w:rPr>
              <w:t>Vice President - Legal</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INN PARTNERS, L.C. (82.46%)</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Accudata, Inc., Manager and Majority Member</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gridSpan w:val="4"/>
          </w:tcPr>
          <w:p>
            <w:pPr>
              <w:spacing w:after="0"/>
              <w:rPr>
                <w:sz w:val="20"/>
                <w:szCs w:val="20"/>
                <w:color w:val="auto"/>
              </w:rPr>
            </w:pPr>
            <w:r>
              <w:rPr>
                <w:rFonts w:ascii="Arial" w:cs="Arial" w:eastAsia="Arial" w:hAnsi="Arial"/>
                <w:sz w:val="18"/>
                <w:szCs w:val="18"/>
                <w:b w:val="1"/>
                <w:bCs w:val="1"/>
                <w:color w:val="auto"/>
              </w:rPr>
              <w:t>LEE PROCUREMENT SOLUTIONS CO.</w:t>
            </w:r>
          </w:p>
        </w:tc>
        <w:tc>
          <w:tcPr>
            <w:tcW w:w="3660" w:type="dxa"/>
            <w:vAlign w:val="bottom"/>
          </w:tcPr>
          <w:p>
            <w:pPr>
              <w:spacing w:after="0"/>
              <w:rPr>
                <w:sz w:val="17"/>
                <w:szCs w:val="17"/>
                <w:color w:val="auto"/>
              </w:rPr>
            </w:pPr>
          </w:p>
        </w:tc>
      </w:tr>
      <w:tr>
        <w:trPr>
          <w:trHeight w:val="272"/>
        </w:trPr>
        <w:tc>
          <w:tcPr>
            <w:tcW w:w="328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Timothy R. Millage</w:t>
            </w:r>
          </w:p>
        </w:tc>
        <w:tc>
          <w:tcPr>
            <w:tcW w:w="160" w:type="dxa"/>
            <w:vAlign w:val="bottom"/>
          </w:tcPr>
          <w:p>
            <w:pPr>
              <w:spacing w:after="0"/>
              <w:rPr>
                <w:sz w:val="23"/>
                <w:szCs w:val="23"/>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President, Treasurer and Director</w:t>
            </w:r>
          </w:p>
        </w:tc>
      </w:tr>
      <w:tr>
        <w:trPr>
          <w:trHeight w:val="230"/>
        </w:trPr>
        <w:tc>
          <w:tcPr>
            <w:tcW w:w="3440" w:type="dxa"/>
            <w:vAlign w:val="bottom"/>
            <w:gridSpan w:val="4"/>
          </w:tcPr>
          <w:p>
            <w:pPr>
              <w:ind w:left="20"/>
              <w:spacing w:after="0"/>
              <w:rPr>
                <w:sz w:val="20"/>
                <w:szCs w:val="20"/>
                <w:color w:val="auto"/>
              </w:rPr>
            </w:pPr>
            <w:r>
              <w:rPr>
                <w:rFonts w:ascii="Arial" w:cs="Arial" w:eastAsia="Arial" w:hAnsi="Arial"/>
                <w:sz w:val="18"/>
                <w:szCs w:val="18"/>
                <w:color w:val="auto"/>
              </w:rPr>
              <w:t>T.F. Olt III</w:t>
            </w:r>
          </w:p>
        </w:tc>
        <w:tc>
          <w:tcPr>
            <w:tcW w:w="3660" w:type="dxa"/>
            <w:vAlign w:val="bottom"/>
          </w:tcPr>
          <w:p>
            <w:pPr>
              <w:ind w:left="160"/>
              <w:spacing w:after="0"/>
              <w:rPr>
                <w:sz w:val="20"/>
                <w:szCs w:val="20"/>
                <w:color w:val="auto"/>
              </w:rPr>
            </w:pPr>
            <w:r>
              <w:rPr>
                <w:rFonts w:ascii="Arial" w:cs="Arial" w:eastAsia="Arial" w:hAnsi="Arial"/>
                <w:sz w:val="18"/>
                <w:szCs w:val="18"/>
                <w:color w:val="auto"/>
              </w:rPr>
              <w:t>Secretary and Director</w:t>
            </w:r>
          </w:p>
        </w:tc>
      </w:tr>
      <w:tr>
        <w:trPr>
          <w:trHeight w:val="229"/>
        </w:trPr>
        <w:tc>
          <w:tcPr>
            <w:tcW w:w="3440" w:type="dxa"/>
            <w:vAlign w:val="bottom"/>
            <w:gridSpan w:val="4"/>
          </w:tcPr>
          <w:p>
            <w:pPr>
              <w:ind w:left="20"/>
              <w:spacing w:after="0"/>
              <w:rPr>
                <w:sz w:val="20"/>
                <w:szCs w:val="20"/>
                <w:color w:val="auto"/>
              </w:rPr>
            </w:pPr>
            <w:r>
              <w:rPr>
                <w:rFonts w:ascii="Arial" w:cs="Arial" w:eastAsia="Arial" w:hAnsi="Arial"/>
                <w:sz w:val="18"/>
                <w:szCs w:val="18"/>
                <w:color w:val="auto"/>
              </w:rPr>
              <w:t>Jared Marks</w:t>
            </w:r>
          </w:p>
        </w:tc>
        <w:tc>
          <w:tcPr>
            <w:tcW w:w="3660" w:type="dxa"/>
            <w:vAlign w:val="bottom"/>
          </w:tcPr>
          <w:p>
            <w:pPr>
              <w:ind w:left="160"/>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0"/>
        </w:trPr>
        <w:tc>
          <w:tcPr>
            <w:tcW w:w="3440" w:type="dxa"/>
            <w:vAlign w:val="bottom"/>
            <w:gridSpan w:val="4"/>
          </w:tcPr>
          <w:p>
            <w:pPr>
              <w:ind w:left="20"/>
              <w:spacing w:after="0"/>
              <w:rPr>
                <w:sz w:val="20"/>
                <w:szCs w:val="20"/>
                <w:color w:val="auto"/>
              </w:rPr>
            </w:pPr>
            <w:r>
              <w:rPr>
                <w:rFonts w:ascii="Arial" w:cs="Arial" w:eastAsia="Arial" w:hAnsi="Arial"/>
                <w:sz w:val="18"/>
                <w:szCs w:val="18"/>
                <w:color w:val="auto"/>
              </w:rPr>
              <w:t>Jena Quinnell</w:t>
            </w:r>
          </w:p>
        </w:tc>
        <w:tc>
          <w:tcPr>
            <w:tcW w:w="3660" w:type="dxa"/>
            <w:vAlign w:val="bottom"/>
          </w:tcPr>
          <w:p>
            <w:pPr>
              <w:ind w:left="160"/>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9"/>
        </w:trPr>
        <w:tc>
          <w:tcPr>
            <w:tcW w:w="3440" w:type="dxa"/>
            <w:vAlign w:val="bottom"/>
            <w:gridSpan w:val="4"/>
          </w:tcPr>
          <w:p>
            <w:pPr>
              <w:ind w:left="20"/>
              <w:spacing w:after="0"/>
              <w:rPr>
                <w:sz w:val="20"/>
                <w:szCs w:val="20"/>
                <w:color w:val="auto"/>
              </w:rPr>
            </w:pPr>
            <w:r>
              <w:rPr>
                <w:rFonts w:ascii="Arial" w:cs="Arial" w:eastAsia="Arial" w:hAnsi="Arial"/>
                <w:sz w:val="18"/>
                <w:szCs w:val="18"/>
                <w:color w:val="auto"/>
              </w:rPr>
              <w:t>Astrid Garcia</w:t>
            </w:r>
          </w:p>
        </w:tc>
        <w:tc>
          <w:tcPr>
            <w:tcW w:w="3660" w:type="dxa"/>
            <w:vAlign w:val="bottom"/>
          </w:tcPr>
          <w:p>
            <w:pPr>
              <w:ind w:left="160"/>
              <w:spacing w:after="0"/>
              <w:rPr>
                <w:sz w:val="20"/>
                <w:szCs w:val="20"/>
                <w:color w:val="auto"/>
              </w:rPr>
            </w:pPr>
            <w:r>
              <w:rPr>
                <w:rFonts w:ascii="Arial" w:cs="Arial" w:eastAsia="Arial" w:hAnsi="Arial"/>
                <w:sz w:val="18"/>
                <w:szCs w:val="18"/>
                <w:color w:val="auto"/>
              </w:rPr>
              <w:t>Vice President - Legal</w:t>
            </w:r>
          </w:p>
        </w:tc>
      </w:tr>
      <w:tr>
        <w:trPr>
          <w:trHeight w:val="495"/>
        </w:trPr>
        <w:tc>
          <w:tcPr>
            <w:tcW w:w="3440" w:type="dxa"/>
            <w:vAlign w:val="bottom"/>
            <w:gridSpan w:val="4"/>
          </w:tcPr>
          <w:p>
            <w:pPr>
              <w:spacing w:after="0"/>
              <w:rPr>
                <w:sz w:val="20"/>
                <w:szCs w:val="20"/>
                <w:color w:val="auto"/>
              </w:rPr>
            </w:pPr>
            <w:r>
              <w:rPr>
                <w:rFonts w:ascii="Arial" w:cs="Arial" w:eastAsia="Arial" w:hAnsi="Arial"/>
                <w:sz w:val="18"/>
                <w:szCs w:val="18"/>
                <w:b w:val="1"/>
                <w:bCs w:val="1"/>
                <w:color w:val="auto"/>
              </w:rPr>
              <w:t>SIOUX CITY NEWSPAPERS, INC.</w:t>
            </w:r>
          </w:p>
        </w:tc>
        <w:tc>
          <w:tcPr>
            <w:tcW w:w="3660" w:type="dxa"/>
            <w:vAlign w:val="bottom"/>
          </w:tcPr>
          <w:p>
            <w:pPr>
              <w:spacing w:after="0"/>
              <w:rPr>
                <w:sz w:val="24"/>
                <w:szCs w:val="24"/>
                <w:color w:val="auto"/>
              </w:rPr>
            </w:pPr>
          </w:p>
        </w:tc>
      </w:tr>
      <w:tr>
        <w:trPr>
          <w:trHeight w:val="272"/>
        </w:trPr>
        <w:tc>
          <w:tcPr>
            <w:tcW w:w="28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Kevin D. Mowbray</w:t>
            </w:r>
          </w:p>
        </w:tc>
        <w:tc>
          <w:tcPr>
            <w:tcW w:w="640" w:type="dxa"/>
            <w:vAlign w:val="bottom"/>
            <w:gridSpan w:val="2"/>
          </w:tcPr>
          <w:p>
            <w:pPr>
              <w:spacing w:after="0"/>
              <w:rPr>
                <w:sz w:val="23"/>
                <w:szCs w:val="23"/>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President and Director</w:t>
            </w:r>
          </w:p>
        </w:tc>
      </w:tr>
      <w:tr>
        <w:trPr>
          <w:trHeight w:val="230"/>
        </w:trPr>
        <w:tc>
          <w:tcPr>
            <w:tcW w:w="3440" w:type="dxa"/>
            <w:vAlign w:val="bottom"/>
            <w:gridSpan w:val="4"/>
          </w:tcPr>
          <w:p>
            <w:pPr>
              <w:ind w:left="20"/>
              <w:spacing w:after="0"/>
              <w:rPr>
                <w:sz w:val="20"/>
                <w:szCs w:val="20"/>
                <w:color w:val="auto"/>
              </w:rPr>
            </w:pPr>
            <w:r>
              <w:rPr>
                <w:rFonts w:ascii="Arial" w:cs="Arial" w:eastAsia="Arial" w:hAnsi="Arial"/>
                <w:sz w:val="18"/>
                <w:szCs w:val="18"/>
                <w:color w:val="auto"/>
              </w:rPr>
              <w:t>Timothy R. Millage</w:t>
            </w:r>
          </w:p>
        </w:tc>
        <w:tc>
          <w:tcPr>
            <w:tcW w:w="3660" w:type="dxa"/>
            <w:vAlign w:val="bottom"/>
          </w:tcPr>
          <w:p>
            <w:pPr>
              <w:ind w:left="160"/>
              <w:spacing w:after="0"/>
              <w:rPr>
                <w:sz w:val="20"/>
                <w:szCs w:val="20"/>
                <w:color w:val="auto"/>
              </w:rPr>
            </w:pPr>
            <w:r>
              <w:rPr>
                <w:rFonts w:ascii="Arial" w:cs="Arial" w:eastAsia="Arial" w:hAnsi="Arial"/>
                <w:sz w:val="18"/>
                <w:szCs w:val="18"/>
                <w:color w:val="auto"/>
              </w:rPr>
              <w:t>Vice President and Treasurer</w:t>
            </w:r>
          </w:p>
        </w:tc>
      </w:tr>
      <w:tr>
        <w:trPr>
          <w:trHeight w:val="230"/>
        </w:trPr>
        <w:tc>
          <w:tcPr>
            <w:tcW w:w="3440" w:type="dxa"/>
            <w:vAlign w:val="bottom"/>
            <w:gridSpan w:val="4"/>
          </w:tcPr>
          <w:p>
            <w:pPr>
              <w:ind w:left="20"/>
              <w:spacing w:after="0"/>
              <w:rPr>
                <w:sz w:val="20"/>
                <w:szCs w:val="20"/>
                <w:color w:val="auto"/>
              </w:rPr>
            </w:pPr>
            <w:r>
              <w:rPr>
                <w:rFonts w:ascii="Arial" w:cs="Arial" w:eastAsia="Arial" w:hAnsi="Arial"/>
                <w:sz w:val="18"/>
                <w:szCs w:val="18"/>
                <w:color w:val="auto"/>
              </w:rPr>
              <w:t>T.F. Olt III</w:t>
            </w:r>
          </w:p>
        </w:tc>
        <w:tc>
          <w:tcPr>
            <w:tcW w:w="3660" w:type="dxa"/>
            <w:vAlign w:val="bottom"/>
          </w:tcPr>
          <w:p>
            <w:pPr>
              <w:ind w:left="160"/>
              <w:spacing w:after="0"/>
              <w:rPr>
                <w:sz w:val="20"/>
                <w:szCs w:val="20"/>
                <w:color w:val="auto"/>
              </w:rPr>
            </w:pPr>
            <w:r>
              <w:rPr>
                <w:rFonts w:ascii="Arial" w:cs="Arial" w:eastAsia="Arial" w:hAnsi="Arial"/>
                <w:sz w:val="18"/>
                <w:szCs w:val="18"/>
                <w:color w:val="auto"/>
              </w:rPr>
              <w:t>Secretary and Director</w:t>
            </w:r>
          </w:p>
        </w:tc>
      </w:tr>
      <w:tr>
        <w:trPr>
          <w:trHeight w:val="230"/>
        </w:trPr>
        <w:tc>
          <w:tcPr>
            <w:tcW w:w="3440" w:type="dxa"/>
            <w:vAlign w:val="bottom"/>
            <w:gridSpan w:val="4"/>
          </w:tcPr>
          <w:p>
            <w:pPr>
              <w:ind w:left="20"/>
              <w:spacing w:after="0"/>
              <w:rPr>
                <w:sz w:val="20"/>
                <w:szCs w:val="20"/>
                <w:color w:val="auto"/>
              </w:rPr>
            </w:pPr>
            <w:r>
              <w:rPr>
                <w:rFonts w:ascii="Arial" w:cs="Arial" w:eastAsia="Arial" w:hAnsi="Arial"/>
                <w:sz w:val="18"/>
                <w:szCs w:val="18"/>
                <w:color w:val="auto"/>
              </w:rPr>
              <w:t>Jared Marks</w:t>
            </w:r>
          </w:p>
        </w:tc>
        <w:tc>
          <w:tcPr>
            <w:tcW w:w="3660" w:type="dxa"/>
            <w:vAlign w:val="bottom"/>
          </w:tcPr>
          <w:p>
            <w:pPr>
              <w:ind w:left="160"/>
              <w:spacing w:after="0"/>
              <w:rPr>
                <w:sz w:val="20"/>
                <w:szCs w:val="20"/>
                <w:color w:val="auto"/>
              </w:rPr>
            </w:pPr>
            <w:r>
              <w:rPr>
                <w:rFonts w:ascii="Arial" w:cs="Arial" w:eastAsia="Arial" w:hAnsi="Arial"/>
                <w:sz w:val="18"/>
                <w:szCs w:val="18"/>
                <w:color w:val="auto"/>
                <w:w w:val="99"/>
              </w:rPr>
              <w:t>Assistant Secretary and Assistant Treasurer</w:t>
            </w:r>
          </w:p>
        </w:tc>
      </w:tr>
      <w:tr>
        <w:trPr>
          <w:trHeight w:val="229"/>
        </w:trPr>
        <w:tc>
          <w:tcPr>
            <w:tcW w:w="3440" w:type="dxa"/>
            <w:vAlign w:val="bottom"/>
            <w:gridSpan w:val="4"/>
          </w:tcPr>
          <w:p>
            <w:pPr>
              <w:ind w:left="20"/>
              <w:spacing w:after="0"/>
              <w:rPr>
                <w:sz w:val="20"/>
                <w:szCs w:val="20"/>
                <w:color w:val="auto"/>
              </w:rPr>
            </w:pPr>
            <w:r>
              <w:rPr>
                <w:rFonts w:ascii="Arial" w:cs="Arial" w:eastAsia="Arial" w:hAnsi="Arial"/>
                <w:sz w:val="18"/>
                <w:szCs w:val="18"/>
                <w:color w:val="auto"/>
              </w:rPr>
              <w:t>Jena Quinnell</w:t>
            </w:r>
          </w:p>
        </w:tc>
        <w:tc>
          <w:tcPr>
            <w:tcW w:w="3660" w:type="dxa"/>
            <w:vAlign w:val="bottom"/>
          </w:tcPr>
          <w:p>
            <w:pPr>
              <w:ind w:left="160"/>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9"/>
        </w:trPr>
        <w:tc>
          <w:tcPr>
            <w:tcW w:w="3440" w:type="dxa"/>
            <w:vAlign w:val="bottom"/>
            <w:gridSpan w:val="4"/>
          </w:tcPr>
          <w:p>
            <w:pPr>
              <w:ind w:left="20"/>
              <w:spacing w:after="0"/>
              <w:rPr>
                <w:sz w:val="20"/>
                <w:szCs w:val="20"/>
                <w:color w:val="auto"/>
              </w:rPr>
            </w:pPr>
            <w:r>
              <w:rPr>
                <w:rFonts w:ascii="Arial" w:cs="Arial" w:eastAsia="Arial" w:hAnsi="Arial"/>
                <w:sz w:val="18"/>
                <w:szCs w:val="18"/>
                <w:color w:val="auto"/>
              </w:rPr>
              <w:t>Astrid Garcia</w:t>
            </w:r>
          </w:p>
        </w:tc>
        <w:tc>
          <w:tcPr>
            <w:tcW w:w="3660" w:type="dxa"/>
            <w:vAlign w:val="bottom"/>
          </w:tcPr>
          <w:p>
            <w:pPr>
              <w:ind w:left="160"/>
              <w:spacing w:after="0"/>
              <w:rPr>
                <w:sz w:val="20"/>
                <w:szCs w:val="20"/>
                <w:color w:val="auto"/>
              </w:rPr>
            </w:pPr>
            <w:r>
              <w:rPr>
                <w:rFonts w:ascii="Arial" w:cs="Arial" w:eastAsia="Arial" w:hAnsi="Arial"/>
                <w:sz w:val="18"/>
                <w:szCs w:val="18"/>
                <w:color w:val="auto"/>
              </w:rPr>
              <w:t>Vice President - Legal</w:t>
            </w:r>
          </w:p>
        </w:tc>
      </w:tr>
      <w:tr>
        <w:trPr>
          <w:trHeight w:val="482"/>
        </w:trPr>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JOURNAL-STAR PRINTING CO.</w:t>
            </w:r>
          </w:p>
        </w:tc>
        <w:tc>
          <w:tcPr>
            <w:tcW w:w="740" w:type="dxa"/>
            <w:vAlign w:val="bottom"/>
            <w:gridSpan w:val="3"/>
          </w:tcPr>
          <w:p>
            <w:pPr>
              <w:spacing w:after="0"/>
              <w:rPr>
                <w:sz w:val="24"/>
                <w:szCs w:val="24"/>
                <w:color w:val="auto"/>
              </w:rPr>
            </w:pPr>
          </w:p>
        </w:tc>
        <w:tc>
          <w:tcPr>
            <w:tcW w:w="3660" w:type="dxa"/>
            <w:vAlign w:val="bottom"/>
          </w:tcPr>
          <w:p>
            <w:pPr>
              <w:spacing w:after="0"/>
              <w:rPr>
                <w:sz w:val="24"/>
                <w:szCs w:val="24"/>
                <w:color w:val="auto"/>
              </w:rPr>
            </w:pPr>
          </w:p>
        </w:tc>
      </w:tr>
      <w:tr>
        <w:trPr>
          <w:trHeight w:val="272"/>
        </w:trPr>
        <w:tc>
          <w:tcPr>
            <w:tcW w:w="3440" w:type="dxa"/>
            <w:vAlign w:val="bottom"/>
            <w:gridSpan w:val="4"/>
          </w:tcPr>
          <w:p>
            <w:pPr>
              <w:ind w:left="20"/>
              <w:spacing w:after="0"/>
              <w:rPr>
                <w:sz w:val="20"/>
                <w:szCs w:val="20"/>
                <w:color w:val="auto"/>
              </w:rPr>
            </w:pPr>
            <w:r>
              <w:rPr>
                <w:rFonts w:ascii="Arial" w:cs="Arial" w:eastAsia="Arial" w:hAnsi="Arial"/>
                <w:sz w:val="18"/>
                <w:szCs w:val="18"/>
                <w:color w:val="auto"/>
              </w:rPr>
              <w:t>Kevin D. Mowbray</w:t>
            </w:r>
          </w:p>
        </w:tc>
        <w:tc>
          <w:tcPr>
            <w:tcW w:w="3660" w:type="dxa"/>
            <w:vAlign w:val="bottom"/>
          </w:tcPr>
          <w:p>
            <w:pPr>
              <w:ind w:left="160"/>
              <w:spacing w:after="0"/>
              <w:rPr>
                <w:sz w:val="20"/>
                <w:szCs w:val="20"/>
                <w:color w:val="auto"/>
              </w:rPr>
            </w:pPr>
            <w:r>
              <w:rPr>
                <w:rFonts w:ascii="Arial" w:cs="Arial" w:eastAsia="Arial" w:hAnsi="Arial"/>
                <w:sz w:val="18"/>
                <w:szCs w:val="18"/>
                <w:color w:val="auto"/>
              </w:rPr>
              <w:t>President and Director</w:t>
            </w:r>
          </w:p>
        </w:tc>
      </w:tr>
      <w:tr>
        <w:trPr>
          <w:trHeight w:val="230"/>
        </w:trPr>
        <w:tc>
          <w:tcPr>
            <w:tcW w:w="3440" w:type="dxa"/>
            <w:vAlign w:val="bottom"/>
            <w:gridSpan w:val="4"/>
          </w:tcPr>
          <w:p>
            <w:pPr>
              <w:ind w:left="20"/>
              <w:spacing w:after="0"/>
              <w:rPr>
                <w:sz w:val="20"/>
                <w:szCs w:val="20"/>
                <w:color w:val="auto"/>
              </w:rPr>
            </w:pPr>
            <w:r>
              <w:rPr>
                <w:rFonts w:ascii="Arial" w:cs="Arial" w:eastAsia="Arial" w:hAnsi="Arial"/>
                <w:sz w:val="18"/>
                <w:szCs w:val="18"/>
                <w:color w:val="auto"/>
              </w:rPr>
              <w:t>Timothy R. Millage</w:t>
            </w:r>
          </w:p>
        </w:tc>
        <w:tc>
          <w:tcPr>
            <w:tcW w:w="3660" w:type="dxa"/>
            <w:vAlign w:val="bottom"/>
          </w:tcPr>
          <w:p>
            <w:pPr>
              <w:ind w:left="160"/>
              <w:spacing w:after="0"/>
              <w:rPr>
                <w:sz w:val="20"/>
                <w:szCs w:val="20"/>
                <w:color w:val="auto"/>
              </w:rPr>
            </w:pPr>
            <w:r>
              <w:rPr>
                <w:rFonts w:ascii="Arial" w:cs="Arial" w:eastAsia="Arial" w:hAnsi="Arial"/>
                <w:sz w:val="18"/>
                <w:szCs w:val="18"/>
                <w:color w:val="auto"/>
              </w:rPr>
              <w:t>Vice President and Treasurer</w:t>
            </w:r>
          </w:p>
        </w:tc>
      </w:tr>
      <w:tr>
        <w:trPr>
          <w:trHeight w:val="230"/>
        </w:trPr>
        <w:tc>
          <w:tcPr>
            <w:tcW w:w="3440" w:type="dxa"/>
            <w:vAlign w:val="bottom"/>
            <w:gridSpan w:val="4"/>
          </w:tcPr>
          <w:p>
            <w:pPr>
              <w:ind w:left="20"/>
              <w:spacing w:after="0"/>
              <w:rPr>
                <w:sz w:val="20"/>
                <w:szCs w:val="20"/>
                <w:color w:val="auto"/>
              </w:rPr>
            </w:pPr>
            <w:r>
              <w:rPr>
                <w:rFonts w:ascii="Arial" w:cs="Arial" w:eastAsia="Arial" w:hAnsi="Arial"/>
                <w:sz w:val="18"/>
                <w:szCs w:val="18"/>
                <w:color w:val="auto"/>
              </w:rPr>
              <w:t>T.F. Olt III</w:t>
            </w:r>
          </w:p>
        </w:tc>
        <w:tc>
          <w:tcPr>
            <w:tcW w:w="3660" w:type="dxa"/>
            <w:vAlign w:val="bottom"/>
          </w:tcPr>
          <w:p>
            <w:pPr>
              <w:ind w:left="160"/>
              <w:spacing w:after="0"/>
              <w:rPr>
                <w:sz w:val="20"/>
                <w:szCs w:val="20"/>
                <w:color w:val="auto"/>
              </w:rPr>
            </w:pPr>
            <w:r>
              <w:rPr>
                <w:rFonts w:ascii="Arial" w:cs="Arial" w:eastAsia="Arial" w:hAnsi="Arial"/>
                <w:sz w:val="18"/>
                <w:szCs w:val="18"/>
                <w:color w:val="auto"/>
              </w:rPr>
              <w:t>Secretary and Director</w:t>
            </w:r>
          </w:p>
        </w:tc>
      </w:tr>
      <w:tr>
        <w:trPr>
          <w:trHeight w:val="229"/>
        </w:trPr>
        <w:tc>
          <w:tcPr>
            <w:tcW w:w="3440" w:type="dxa"/>
            <w:vAlign w:val="bottom"/>
            <w:gridSpan w:val="4"/>
          </w:tcPr>
          <w:p>
            <w:pPr>
              <w:ind w:left="20"/>
              <w:spacing w:after="0"/>
              <w:rPr>
                <w:sz w:val="20"/>
                <w:szCs w:val="20"/>
                <w:color w:val="auto"/>
              </w:rPr>
            </w:pPr>
            <w:r>
              <w:rPr>
                <w:rFonts w:ascii="Arial" w:cs="Arial" w:eastAsia="Arial" w:hAnsi="Arial"/>
                <w:sz w:val="18"/>
                <w:szCs w:val="18"/>
                <w:color w:val="auto"/>
              </w:rPr>
              <w:t>Jared Marks</w:t>
            </w:r>
          </w:p>
        </w:tc>
        <w:tc>
          <w:tcPr>
            <w:tcW w:w="3660" w:type="dxa"/>
            <w:vAlign w:val="bottom"/>
          </w:tcPr>
          <w:p>
            <w:pPr>
              <w:ind w:left="160"/>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0"/>
        </w:trPr>
        <w:tc>
          <w:tcPr>
            <w:tcW w:w="3440" w:type="dxa"/>
            <w:vAlign w:val="bottom"/>
            <w:gridSpan w:val="4"/>
          </w:tcPr>
          <w:p>
            <w:pPr>
              <w:ind w:left="20"/>
              <w:spacing w:after="0"/>
              <w:rPr>
                <w:sz w:val="20"/>
                <w:szCs w:val="20"/>
                <w:color w:val="auto"/>
              </w:rPr>
            </w:pPr>
            <w:r>
              <w:rPr>
                <w:rFonts w:ascii="Arial" w:cs="Arial" w:eastAsia="Arial" w:hAnsi="Arial"/>
                <w:sz w:val="18"/>
                <w:szCs w:val="18"/>
                <w:color w:val="auto"/>
              </w:rPr>
              <w:t>Jena Quinnell</w:t>
            </w:r>
          </w:p>
        </w:tc>
        <w:tc>
          <w:tcPr>
            <w:tcW w:w="3660" w:type="dxa"/>
            <w:vAlign w:val="bottom"/>
          </w:tcPr>
          <w:p>
            <w:pPr>
              <w:ind w:left="160"/>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9"/>
        </w:trPr>
        <w:tc>
          <w:tcPr>
            <w:tcW w:w="3440" w:type="dxa"/>
            <w:vAlign w:val="bottom"/>
            <w:gridSpan w:val="4"/>
          </w:tcPr>
          <w:p>
            <w:pPr>
              <w:ind w:left="20"/>
              <w:spacing w:after="0"/>
              <w:rPr>
                <w:sz w:val="20"/>
                <w:szCs w:val="20"/>
                <w:color w:val="auto"/>
              </w:rPr>
            </w:pPr>
            <w:r>
              <w:rPr>
                <w:rFonts w:ascii="Arial" w:cs="Arial" w:eastAsia="Arial" w:hAnsi="Arial"/>
                <w:sz w:val="18"/>
                <w:szCs w:val="18"/>
                <w:color w:val="auto"/>
              </w:rPr>
              <w:t>Astrid Garcia</w:t>
            </w:r>
          </w:p>
        </w:tc>
        <w:tc>
          <w:tcPr>
            <w:tcW w:w="3660" w:type="dxa"/>
            <w:vAlign w:val="bottom"/>
          </w:tcPr>
          <w:p>
            <w:pPr>
              <w:ind w:left="160"/>
              <w:spacing w:after="0"/>
              <w:rPr>
                <w:sz w:val="20"/>
                <w:szCs w:val="20"/>
                <w:color w:val="auto"/>
              </w:rPr>
            </w:pPr>
            <w:r>
              <w:rPr>
                <w:rFonts w:ascii="Arial" w:cs="Arial" w:eastAsia="Arial" w:hAnsi="Arial"/>
                <w:sz w:val="18"/>
                <w:szCs w:val="18"/>
                <w:color w:val="auto"/>
              </w:rPr>
              <w:t>Vice President - Legal</w:t>
            </w:r>
          </w:p>
        </w:tc>
      </w:tr>
    </w:tbl>
    <w:p>
      <w:pPr>
        <w:sectPr>
          <w:pgSz w:w="11900" w:h="16838" w:orient="portrait"/>
          <w:cols w:equalWidth="0" w:num="1">
            <w:col w:w="10139"/>
          </w:cols>
          <w:pgMar w:left="320" w:top="1391" w:right="1440" w:bottom="1440" w:gutter="0" w:footer="0" w:header="0"/>
        </w:sectPr>
      </w:pPr>
    </w:p>
    <w:bookmarkStart w:id="78" w:name="page79"/>
    <w:bookmarkEnd w:id="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LEE BHM CORP.</w:t>
            </w:r>
          </w:p>
        </w:tc>
        <w:tc>
          <w:tcPr>
            <w:tcW w:w="1980" w:type="dxa"/>
            <w:vAlign w:val="bottom"/>
            <w:gridSpan w:val="5"/>
          </w:tcPr>
          <w:p>
            <w:pPr>
              <w:spacing w:after="0"/>
              <w:rPr>
                <w:sz w:val="17"/>
                <w:szCs w:val="17"/>
                <w:color w:val="auto"/>
              </w:rPr>
            </w:pPr>
          </w:p>
        </w:tc>
        <w:tc>
          <w:tcPr>
            <w:tcW w:w="3700" w:type="dxa"/>
            <w:vAlign w:val="bottom"/>
          </w:tcPr>
          <w:p>
            <w:pPr>
              <w:spacing w:after="0"/>
              <w:rPr>
                <w:sz w:val="17"/>
                <w:szCs w:val="17"/>
                <w:color w:val="auto"/>
              </w:rPr>
            </w:pPr>
          </w:p>
        </w:tc>
      </w:tr>
      <w:tr>
        <w:trPr>
          <w:trHeight w:val="272"/>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Kevin D. Mowbray</w:t>
            </w:r>
          </w:p>
        </w:tc>
        <w:tc>
          <w:tcPr>
            <w:tcW w:w="3700" w:type="dxa"/>
            <w:vAlign w:val="bottom"/>
          </w:tcPr>
          <w:p>
            <w:pPr>
              <w:ind w:left="200"/>
              <w:spacing w:after="0"/>
              <w:rPr>
                <w:sz w:val="20"/>
                <w:szCs w:val="20"/>
                <w:color w:val="auto"/>
              </w:rPr>
            </w:pPr>
            <w:r>
              <w:rPr>
                <w:rFonts w:ascii="Arial" w:cs="Arial" w:eastAsia="Arial" w:hAnsi="Arial"/>
                <w:sz w:val="18"/>
                <w:szCs w:val="18"/>
                <w:color w:val="auto"/>
              </w:rPr>
              <w:t>President and Director</w:t>
            </w:r>
          </w:p>
        </w:tc>
      </w:tr>
      <w:tr>
        <w:trPr>
          <w:trHeight w:val="229"/>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Nathan E. Bekke</w:t>
            </w:r>
          </w:p>
        </w:tc>
        <w:tc>
          <w:tcPr>
            <w:tcW w:w="3700" w:type="dxa"/>
            <w:vAlign w:val="bottom"/>
          </w:tcPr>
          <w:p>
            <w:pPr>
              <w:ind w:left="200"/>
              <w:spacing w:after="0"/>
              <w:rPr>
                <w:sz w:val="20"/>
                <w:szCs w:val="20"/>
                <w:color w:val="auto"/>
              </w:rPr>
            </w:pPr>
            <w:r>
              <w:rPr>
                <w:rFonts w:ascii="Arial" w:cs="Arial" w:eastAsia="Arial" w:hAnsi="Arial"/>
                <w:sz w:val="18"/>
                <w:szCs w:val="18"/>
                <w:color w:val="auto"/>
              </w:rPr>
              <w:t>Vice President</w:t>
            </w:r>
          </w:p>
        </w:tc>
      </w:tr>
      <w:tr>
        <w:trPr>
          <w:trHeight w:val="229"/>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Timothy R. Millage</w:t>
            </w:r>
          </w:p>
        </w:tc>
        <w:tc>
          <w:tcPr>
            <w:tcW w:w="3700" w:type="dxa"/>
            <w:vAlign w:val="bottom"/>
          </w:tcPr>
          <w:p>
            <w:pPr>
              <w:ind w:left="200"/>
              <w:spacing w:after="0"/>
              <w:rPr>
                <w:sz w:val="20"/>
                <w:szCs w:val="20"/>
                <w:color w:val="auto"/>
              </w:rPr>
            </w:pPr>
            <w:r>
              <w:rPr>
                <w:rFonts w:ascii="Arial" w:cs="Arial" w:eastAsia="Arial" w:hAnsi="Arial"/>
                <w:sz w:val="18"/>
                <w:szCs w:val="18"/>
                <w:color w:val="auto"/>
              </w:rPr>
              <w:t>Vice President and Treasurer</w:t>
            </w:r>
          </w:p>
        </w:tc>
      </w:tr>
      <w:tr>
        <w:trPr>
          <w:trHeight w:val="230"/>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T.F. Olt III</w:t>
            </w:r>
          </w:p>
        </w:tc>
        <w:tc>
          <w:tcPr>
            <w:tcW w:w="3700" w:type="dxa"/>
            <w:vAlign w:val="bottom"/>
          </w:tcPr>
          <w:p>
            <w:pPr>
              <w:ind w:left="200"/>
              <w:spacing w:after="0"/>
              <w:rPr>
                <w:sz w:val="20"/>
                <w:szCs w:val="20"/>
                <w:color w:val="auto"/>
              </w:rPr>
            </w:pPr>
            <w:r>
              <w:rPr>
                <w:rFonts w:ascii="Arial" w:cs="Arial" w:eastAsia="Arial" w:hAnsi="Arial"/>
                <w:sz w:val="18"/>
                <w:szCs w:val="18"/>
                <w:color w:val="auto"/>
              </w:rPr>
              <w:t>Secretary and Director</w:t>
            </w:r>
          </w:p>
        </w:tc>
      </w:tr>
      <w:tr>
        <w:trPr>
          <w:trHeight w:val="229"/>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Jared Marks</w:t>
            </w:r>
          </w:p>
        </w:tc>
        <w:tc>
          <w:tcPr>
            <w:tcW w:w="3700" w:type="dxa"/>
            <w:vAlign w:val="bottom"/>
          </w:tcPr>
          <w:p>
            <w:pPr>
              <w:ind w:left="200"/>
              <w:spacing w:after="0"/>
              <w:rPr>
                <w:sz w:val="20"/>
                <w:szCs w:val="20"/>
                <w:color w:val="auto"/>
              </w:rPr>
            </w:pPr>
            <w:r>
              <w:rPr>
                <w:rFonts w:ascii="Arial" w:cs="Arial" w:eastAsia="Arial" w:hAnsi="Arial"/>
                <w:sz w:val="18"/>
                <w:szCs w:val="18"/>
                <w:color w:val="auto"/>
                <w:w w:val="99"/>
              </w:rPr>
              <w:t>Assistant Secretary and Assistant Treasurer</w:t>
            </w:r>
          </w:p>
        </w:tc>
      </w:tr>
      <w:tr>
        <w:trPr>
          <w:trHeight w:val="229"/>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Josh Rinehults</w:t>
            </w:r>
          </w:p>
        </w:tc>
        <w:tc>
          <w:tcPr>
            <w:tcW w:w="3700" w:type="dxa"/>
            <w:vAlign w:val="bottom"/>
          </w:tcPr>
          <w:p>
            <w:pPr>
              <w:ind w:left="200"/>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0"/>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Jena Quinnell</w:t>
            </w:r>
          </w:p>
        </w:tc>
        <w:tc>
          <w:tcPr>
            <w:tcW w:w="3700" w:type="dxa"/>
            <w:vAlign w:val="bottom"/>
          </w:tcPr>
          <w:p>
            <w:pPr>
              <w:ind w:left="200"/>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9"/>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Astrid Garcia</w:t>
            </w:r>
          </w:p>
        </w:tc>
        <w:tc>
          <w:tcPr>
            <w:tcW w:w="3700" w:type="dxa"/>
            <w:vAlign w:val="bottom"/>
          </w:tcPr>
          <w:p>
            <w:pPr>
              <w:ind w:left="200"/>
              <w:spacing w:after="0"/>
              <w:rPr>
                <w:sz w:val="20"/>
                <w:szCs w:val="20"/>
                <w:color w:val="auto"/>
              </w:rPr>
            </w:pPr>
            <w:r>
              <w:rPr>
                <w:rFonts w:ascii="Arial" w:cs="Arial" w:eastAsia="Arial" w:hAnsi="Arial"/>
                <w:sz w:val="18"/>
                <w:szCs w:val="18"/>
                <w:color w:val="auto"/>
              </w:rPr>
              <w:t>Vice President - Legal</w:t>
            </w:r>
          </w:p>
        </w:tc>
      </w:tr>
      <w:tr>
        <w:trPr>
          <w:trHeight w:val="495"/>
        </w:trPr>
        <w:tc>
          <w:tcPr>
            <w:tcW w:w="3400" w:type="dxa"/>
            <w:vAlign w:val="bottom"/>
            <w:gridSpan w:val="6"/>
          </w:tcPr>
          <w:p>
            <w:pPr>
              <w:spacing w:after="0"/>
              <w:rPr>
                <w:sz w:val="20"/>
                <w:szCs w:val="20"/>
                <w:color w:val="auto"/>
              </w:rPr>
            </w:pPr>
            <w:r>
              <w:rPr>
                <w:rFonts w:ascii="Arial" w:cs="Arial" w:eastAsia="Arial" w:hAnsi="Arial"/>
                <w:sz w:val="18"/>
                <w:szCs w:val="18"/>
                <w:b w:val="1"/>
                <w:bCs w:val="1"/>
                <w:color w:val="auto"/>
              </w:rPr>
              <w:t>LEE CONSOLIDATED HOLDINGS CO.</w:t>
            </w:r>
          </w:p>
        </w:tc>
        <w:tc>
          <w:tcPr>
            <w:tcW w:w="3700" w:type="dxa"/>
            <w:vAlign w:val="bottom"/>
          </w:tcPr>
          <w:p>
            <w:pPr>
              <w:spacing w:after="0"/>
              <w:rPr>
                <w:sz w:val="24"/>
                <w:szCs w:val="24"/>
                <w:color w:val="auto"/>
              </w:rPr>
            </w:pPr>
          </w:p>
        </w:tc>
      </w:tr>
      <w:tr>
        <w:trPr>
          <w:trHeight w:val="272"/>
        </w:trPr>
        <w:tc>
          <w:tcPr>
            <w:tcW w:w="3200" w:type="dxa"/>
            <w:vAlign w:val="bottom"/>
            <w:tcBorders>
              <w:top w:val="single" w:sz="8" w:color="auto"/>
            </w:tcBorders>
            <w:gridSpan w:val="5"/>
          </w:tcPr>
          <w:p>
            <w:pPr>
              <w:ind w:left="20"/>
              <w:spacing w:after="0"/>
              <w:rPr>
                <w:sz w:val="20"/>
                <w:szCs w:val="20"/>
                <w:color w:val="auto"/>
              </w:rPr>
            </w:pPr>
            <w:r>
              <w:rPr>
                <w:rFonts w:ascii="Arial" w:cs="Arial" w:eastAsia="Arial" w:hAnsi="Arial"/>
                <w:sz w:val="18"/>
                <w:szCs w:val="18"/>
                <w:color w:val="auto"/>
              </w:rPr>
              <w:t>Kevin D. Mowbray</w:t>
            </w:r>
          </w:p>
        </w:tc>
        <w:tc>
          <w:tcPr>
            <w:tcW w:w="200" w:type="dxa"/>
            <w:vAlign w:val="bottom"/>
          </w:tcPr>
          <w:p>
            <w:pPr>
              <w:spacing w:after="0"/>
              <w:rPr>
                <w:sz w:val="23"/>
                <w:szCs w:val="23"/>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President and Director</w:t>
            </w:r>
          </w:p>
        </w:tc>
      </w:tr>
      <w:tr>
        <w:trPr>
          <w:trHeight w:val="229"/>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Timothy R. Millage</w:t>
            </w:r>
          </w:p>
        </w:tc>
        <w:tc>
          <w:tcPr>
            <w:tcW w:w="3700" w:type="dxa"/>
            <w:vAlign w:val="bottom"/>
          </w:tcPr>
          <w:p>
            <w:pPr>
              <w:ind w:left="200"/>
              <w:spacing w:after="0"/>
              <w:rPr>
                <w:sz w:val="20"/>
                <w:szCs w:val="20"/>
                <w:color w:val="auto"/>
              </w:rPr>
            </w:pPr>
            <w:r>
              <w:rPr>
                <w:rFonts w:ascii="Arial" w:cs="Arial" w:eastAsia="Arial" w:hAnsi="Arial"/>
                <w:sz w:val="18"/>
                <w:szCs w:val="18"/>
                <w:color w:val="auto"/>
              </w:rPr>
              <w:t>Vice President and Treasurer</w:t>
            </w:r>
          </w:p>
        </w:tc>
      </w:tr>
      <w:tr>
        <w:trPr>
          <w:trHeight w:val="230"/>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T.F. Olt III</w:t>
            </w:r>
          </w:p>
        </w:tc>
        <w:tc>
          <w:tcPr>
            <w:tcW w:w="3700" w:type="dxa"/>
            <w:vAlign w:val="bottom"/>
          </w:tcPr>
          <w:p>
            <w:pPr>
              <w:ind w:left="200"/>
              <w:spacing w:after="0"/>
              <w:rPr>
                <w:sz w:val="20"/>
                <w:szCs w:val="20"/>
                <w:color w:val="auto"/>
              </w:rPr>
            </w:pPr>
            <w:r>
              <w:rPr>
                <w:rFonts w:ascii="Arial" w:cs="Arial" w:eastAsia="Arial" w:hAnsi="Arial"/>
                <w:sz w:val="18"/>
                <w:szCs w:val="18"/>
                <w:color w:val="auto"/>
              </w:rPr>
              <w:t>Secretary and Director</w:t>
            </w:r>
          </w:p>
        </w:tc>
      </w:tr>
      <w:tr>
        <w:trPr>
          <w:trHeight w:val="229"/>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Jared Marks</w:t>
            </w:r>
          </w:p>
        </w:tc>
        <w:tc>
          <w:tcPr>
            <w:tcW w:w="3700" w:type="dxa"/>
            <w:vAlign w:val="bottom"/>
          </w:tcPr>
          <w:p>
            <w:pPr>
              <w:ind w:left="200"/>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9"/>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Astrid Garcia</w:t>
            </w:r>
          </w:p>
        </w:tc>
        <w:tc>
          <w:tcPr>
            <w:tcW w:w="3700" w:type="dxa"/>
            <w:vAlign w:val="bottom"/>
          </w:tcPr>
          <w:p>
            <w:pPr>
              <w:ind w:left="200"/>
              <w:spacing w:after="0"/>
              <w:rPr>
                <w:sz w:val="20"/>
                <w:szCs w:val="20"/>
                <w:color w:val="auto"/>
              </w:rPr>
            </w:pPr>
            <w:r>
              <w:rPr>
                <w:rFonts w:ascii="Arial" w:cs="Arial" w:eastAsia="Arial" w:hAnsi="Arial"/>
                <w:sz w:val="18"/>
                <w:szCs w:val="18"/>
                <w:color w:val="auto"/>
              </w:rPr>
              <w:t>Vice President - Legal</w:t>
            </w:r>
          </w:p>
        </w:tc>
      </w:tr>
      <w:tr>
        <w:trPr>
          <w:trHeight w:val="482"/>
        </w:trPr>
        <w:tc>
          <w:tcPr>
            <w:tcW w:w="3400" w:type="dxa"/>
            <w:vAlign w:val="bottom"/>
            <w:gridSpan w:val="6"/>
          </w:tcPr>
          <w:p>
            <w:pPr>
              <w:spacing w:after="0"/>
              <w:rPr>
                <w:sz w:val="20"/>
                <w:szCs w:val="20"/>
                <w:color w:val="auto"/>
              </w:rPr>
            </w:pPr>
            <w:r>
              <w:rPr>
                <w:rFonts w:ascii="Arial" w:cs="Arial" w:eastAsia="Arial" w:hAnsi="Arial"/>
                <w:sz w:val="18"/>
                <w:szCs w:val="18"/>
                <w:b w:val="1"/>
                <w:bCs w:val="1"/>
                <w:color w:val="auto"/>
              </w:rPr>
              <w:t>MADISON NEWSPAPERS, INC. (50%)</w:t>
            </w:r>
          </w:p>
        </w:tc>
        <w:tc>
          <w:tcPr>
            <w:tcW w:w="3700" w:type="dxa"/>
            <w:vAlign w:val="bottom"/>
          </w:tcPr>
          <w:p>
            <w:pPr>
              <w:spacing w:after="0"/>
              <w:rPr>
                <w:sz w:val="24"/>
                <w:szCs w:val="24"/>
                <w:color w:val="auto"/>
              </w:rPr>
            </w:pPr>
          </w:p>
        </w:tc>
      </w:tr>
      <w:tr>
        <w:trPr>
          <w:trHeight w:val="272"/>
        </w:trPr>
        <w:tc>
          <w:tcPr>
            <w:tcW w:w="316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color w:val="auto"/>
              </w:rPr>
              <w:t>Clayton Frink</w:t>
            </w:r>
          </w:p>
        </w:tc>
        <w:tc>
          <w:tcPr>
            <w:tcW w:w="240" w:type="dxa"/>
            <w:vAlign w:val="bottom"/>
            <w:gridSpan w:val="2"/>
          </w:tcPr>
          <w:p>
            <w:pPr>
              <w:spacing w:after="0"/>
              <w:rPr>
                <w:sz w:val="23"/>
                <w:szCs w:val="23"/>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Chairman and Director</w:t>
            </w:r>
          </w:p>
        </w:tc>
      </w:tr>
      <w:tr>
        <w:trPr>
          <w:trHeight w:val="229"/>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Ian Caso</w:t>
            </w:r>
          </w:p>
        </w:tc>
        <w:tc>
          <w:tcPr>
            <w:tcW w:w="3700" w:type="dxa"/>
            <w:vAlign w:val="bottom"/>
          </w:tcPr>
          <w:p>
            <w:pPr>
              <w:ind w:left="200"/>
              <w:spacing w:after="0"/>
              <w:rPr>
                <w:sz w:val="20"/>
                <w:szCs w:val="20"/>
                <w:color w:val="auto"/>
              </w:rPr>
            </w:pPr>
            <w:r>
              <w:rPr>
                <w:rFonts w:ascii="Arial" w:cs="Arial" w:eastAsia="Arial" w:hAnsi="Arial"/>
                <w:sz w:val="18"/>
                <w:szCs w:val="18"/>
                <w:color w:val="auto"/>
              </w:rPr>
              <w:t>President and Director</w:t>
            </w:r>
          </w:p>
        </w:tc>
      </w:tr>
      <w:tr>
        <w:trPr>
          <w:trHeight w:val="230"/>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James D. Lussier</w:t>
            </w:r>
          </w:p>
        </w:tc>
        <w:tc>
          <w:tcPr>
            <w:tcW w:w="3700" w:type="dxa"/>
            <w:vAlign w:val="bottom"/>
          </w:tcPr>
          <w:p>
            <w:pPr>
              <w:ind w:left="200"/>
              <w:spacing w:after="0"/>
              <w:rPr>
                <w:sz w:val="20"/>
                <w:szCs w:val="20"/>
                <w:color w:val="auto"/>
              </w:rPr>
            </w:pPr>
            <w:r>
              <w:rPr>
                <w:rFonts w:ascii="Arial" w:cs="Arial" w:eastAsia="Arial" w:hAnsi="Arial"/>
                <w:sz w:val="18"/>
                <w:szCs w:val="18"/>
                <w:color w:val="auto"/>
              </w:rPr>
              <w:t>Secretary and Director</w:t>
            </w:r>
          </w:p>
        </w:tc>
      </w:tr>
      <w:tr>
        <w:trPr>
          <w:trHeight w:val="230"/>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Josh Rinehults</w:t>
            </w:r>
          </w:p>
        </w:tc>
        <w:tc>
          <w:tcPr>
            <w:tcW w:w="3700" w:type="dxa"/>
            <w:vAlign w:val="bottom"/>
          </w:tcPr>
          <w:p>
            <w:pPr>
              <w:ind w:left="200"/>
              <w:spacing w:after="0"/>
              <w:rPr>
                <w:sz w:val="20"/>
                <w:szCs w:val="20"/>
                <w:color w:val="auto"/>
              </w:rPr>
            </w:pPr>
            <w:r>
              <w:rPr>
                <w:rFonts w:ascii="Arial" w:cs="Arial" w:eastAsia="Arial" w:hAnsi="Arial"/>
                <w:sz w:val="18"/>
                <w:szCs w:val="18"/>
                <w:color w:val="auto"/>
              </w:rPr>
              <w:t>Treasurer and Director</w:t>
            </w:r>
          </w:p>
        </w:tc>
      </w:tr>
      <w:tr>
        <w:trPr>
          <w:trHeight w:val="230"/>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Nancy Gage</w:t>
            </w:r>
          </w:p>
        </w:tc>
        <w:tc>
          <w:tcPr>
            <w:tcW w:w="3700" w:type="dxa"/>
            <w:vAlign w:val="bottom"/>
          </w:tcPr>
          <w:p>
            <w:pPr>
              <w:ind w:left="200"/>
              <w:spacing w:after="0"/>
              <w:rPr>
                <w:sz w:val="20"/>
                <w:szCs w:val="20"/>
                <w:color w:val="auto"/>
              </w:rPr>
            </w:pPr>
            <w:r>
              <w:rPr>
                <w:rFonts w:ascii="Arial" w:cs="Arial" w:eastAsia="Arial" w:hAnsi="Arial"/>
                <w:sz w:val="18"/>
                <w:szCs w:val="18"/>
                <w:color w:val="auto"/>
              </w:rPr>
              <w:t>Director</w:t>
            </w:r>
          </w:p>
        </w:tc>
      </w:tr>
      <w:tr>
        <w:trPr>
          <w:trHeight w:val="230"/>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Nathan Bekke</w:t>
            </w:r>
          </w:p>
        </w:tc>
        <w:tc>
          <w:tcPr>
            <w:tcW w:w="3700" w:type="dxa"/>
            <w:vAlign w:val="bottom"/>
          </w:tcPr>
          <w:p>
            <w:pPr>
              <w:ind w:left="200"/>
              <w:spacing w:after="0"/>
              <w:rPr>
                <w:sz w:val="20"/>
                <w:szCs w:val="20"/>
                <w:color w:val="auto"/>
              </w:rPr>
            </w:pPr>
            <w:r>
              <w:rPr>
                <w:rFonts w:ascii="Arial" w:cs="Arial" w:eastAsia="Arial" w:hAnsi="Arial"/>
                <w:sz w:val="18"/>
                <w:szCs w:val="18"/>
                <w:color w:val="auto"/>
              </w:rPr>
              <w:t>Director</w:t>
            </w:r>
          </w:p>
        </w:tc>
      </w:tr>
      <w:tr>
        <w:trPr>
          <w:trHeight w:val="239"/>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Mary E. Hoffmann</w:t>
            </w:r>
          </w:p>
        </w:tc>
        <w:tc>
          <w:tcPr>
            <w:tcW w:w="3700" w:type="dxa"/>
            <w:vAlign w:val="bottom"/>
          </w:tcPr>
          <w:p>
            <w:pPr>
              <w:ind w:left="200"/>
              <w:spacing w:after="0"/>
              <w:rPr>
                <w:sz w:val="20"/>
                <w:szCs w:val="20"/>
                <w:color w:val="auto"/>
              </w:rPr>
            </w:pPr>
            <w:r>
              <w:rPr>
                <w:rFonts w:ascii="Arial" w:cs="Arial" w:eastAsia="Arial" w:hAnsi="Arial"/>
                <w:sz w:val="18"/>
                <w:szCs w:val="18"/>
                <w:color w:val="auto"/>
              </w:rPr>
              <w:t>Assistant Secretary, Assistant Treasurer</w:t>
            </w:r>
          </w:p>
        </w:tc>
      </w:tr>
      <w:tr>
        <w:trPr>
          <w:trHeight w:val="496"/>
        </w:trPr>
        <w:tc>
          <w:tcPr>
            <w:tcW w:w="26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9"/>
              </w:rPr>
              <w:t>FLAGSTAFF PUBLISHING CO.</w:t>
            </w:r>
          </w:p>
        </w:tc>
        <w:tc>
          <w:tcPr>
            <w:tcW w:w="800" w:type="dxa"/>
            <w:vAlign w:val="bottom"/>
            <w:gridSpan w:val="3"/>
          </w:tcPr>
          <w:p>
            <w:pPr>
              <w:spacing w:after="0"/>
              <w:rPr>
                <w:sz w:val="24"/>
                <w:szCs w:val="24"/>
                <w:color w:val="auto"/>
              </w:rPr>
            </w:pPr>
          </w:p>
        </w:tc>
        <w:tc>
          <w:tcPr>
            <w:tcW w:w="3700" w:type="dxa"/>
            <w:vAlign w:val="bottom"/>
          </w:tcPr>
          <w:p>
            <w:pPr>
              <w:spacing w:after="0"/>
              <w:rPr>
                <w:sz w:val="24"/>
                <w:szCs w:val="24"/>
                <w:color w:val="auto"/>
              </w:rPr>
            </w:pPr>
          </w:p>
        </w:tc>
      </w:tr>
      <w:tr>
        <w:trPr>
          <w:trHeight w:val="272"/>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Kevin D. Mowbray</w:t>
            </w:r>
          </w:p>
        </w:tc>
        <w:tc>
          <w:tcPr>
            <w:tcW w:w="3700" w:type="dxa"/>
            <w:vAlign w:val="bottom"/>
          </w:tcPr>
          <w:p>
            <w:pPr>
              <w:ind w:left="200"/>
              <w:spacing w:after="0"/>
              <w:rPr>
                <w:sz w:val="20"/>
                <w:szCs w:val="20"/>
                <w:color w:val="auto"/>
              </w:rPr>
            </w:pPr>
            <w:r>
              <w:rPr>
                <w:rFonts w:ascii="Arial" w:cs="Arial" w:eastAsia="Arial" w:hAnsi="Arial"/>
                <w:sz w:val="18"/>
                <w:szCs w:val="18"/>
                <w:color w:val="auto"/>
              </w:rPr>
              <w:t>President and Director</w:t>
            </w:r>
          </w:p>
        </w:tc>
      </w:tr>
      <w:tr>
        <w:trPr>
          <w:trHeight w:val="230"/>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Timothy R. Millage</w:t>
            </w:r>
          </w:p>
        </w:tc>
        <w:tc>
          <w:tcPr>
            <w:tcW w:w="3700" w:type="dxa"/>
            <w:vAlign w:val="bottom"/>
          </w:tcPr>
          <w:p>
            <w:pPr>
              <w:ind w:left="200"/>
              <w:spacing w:after="0"/>
              <w:rPr>
                <w:sz w:val="20"/>
                <w:szCs w:val="20"/>
                <w:color w:val="auto"/>
              </w:rPr>
            </w:pPr>
            <w:r>
              <w:rPr>
                <w:rFonts w:ascii="Arial" w:cs="Arial" w:eastAsia="Arial" w:hAnsi="Arial"/>
                <w:sz w:val="18"/>
                <w:szCs w:val="18"/>
                <w:color w:val="auto"/>
              </w:rPr>
              <w:t>Vice President and Treasurer</w:t>
            </w:r>
          </w:p>
        </w:tc>
      </w:tr>
      <w:tr>
        <w:trPr>
          <w:trHeight w:val="230"/>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T.F. Olt III</w:t>
            </w:r>
          </w:p>
        </w:tc>
        <w:tc>
          <w:tcPr>
            <w:tcW w:w="3700" w:type="dxa"/>
            <w:vAlign w:val="bottom"/>
          </w:tcPr>
          <w:p>
            <w:pPr>
              <w:ind w:left="200"/>
              <w:spacing w:after="0"/>
              <w:rPr>
                <w:sz w:val="20"/>
                <w:szCs w:val="20"/>
                <w:color w:val="auto"/>
              </w:rPr>
            </w:pPr>
            <w:r>
              <w:rPr>
                <w:rFonts w:ascii="Arial" w:cs="Arial" w:eastAsia="Arial" w:hAnsi="Arial"/>
                <w:sz w:val="18"/>
                <w:szCs w:val="18"/>
                <w:color w:val="auto"/>
              </w:rPr>
              <w:t>Secretary and Director</w:t>
            </w:r>
          </w:p>
        </w:tc>
      </w:tr>
      <w:tr>
        <w:trPr>
          <w:trHeight w:val="229"/>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Jared Marks</w:t>
            </w:r>
          </w:p>
        </w:tc>
        <w:tc>
          <w:tcPr>
            <w:tcW w:w="3700" w:type="dxa"/>
            <w:vAlign w:val="bottom"/>
          </w:tcPr>
          <w:p>
            <w:pPr>
              <w:ind w:left="200"/>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0"/>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Jena Quinnell</w:t>
            </w:r>
          </w:p>
        </w:tc>
        <w:tc>
          <w:tcPr>
            <w:tcW w:w="3700" w:type="dxa"/>
            <w:vAlign w:val="bottom"/>
          </w:tcPr>
          <w:p>
            <w:pPr>
              <w:ind w:left="200"/>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9"/>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Astrid Garcia</w:t>
            </w:r>
          </w:p>
        </w:tc>
        <w:tc>
          <w:tcPr>
            <w:tcW w:w="3700" w:type="dxa"/>
            <w:vAlign w:val="bottom"/>
          </w:tcPr>
          <w:p>
            <w:pPr>
              <w:ind w:left="200"/>
              <w:spacing w:after="0"/>
              <w:rPr>
                <w:sz w:val="20"/>
                <w:szCs w:val="20"/>
                <w:color w:val="auto"/>
              </w:rPr>
            </w:pPr>
            <w:r>
              <w:rPr>
                <w:rFonts w:ascii="Arial" w:cs="Arial" w:eastAsia="Arial" w:hAnsi="Arial"/>
                <w:sz w:val="18"/>
                <w:szCs w:val="18"/>
                <w:color w:val="auto"/>
              </w:rPr>
              <w:t>Vice President - Legal</w:t>
            </w:r>
          </w:p>
        </w:tc>
      </w:tr>
      <w:tr>
        <w:trPr>
          <w:trHeight w:val="482"/>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HANFORD LIQUIDATION, INC.</w:t>
            </w:r>
          </w:p>
        </w:tc>
        <w:tc>
          <w:tcPr>
            <w:tcW w:w="820" w:type="dxa"/>
            <w:vAlign w:val="bottom"/>
            <w:gridSpan w:val="4"/>
          </w:tcPr>
          <w:p>
            <w:pPr>
              <w:spacing w:after="0"/>
              <w:rPr>
                <w:sz w:val="24"/>
                <w:szCs w:val="24"/>
                <w:color w:val="auto"/>
              </w:rPr>
            </w:pPr>
          </w:p>
        </w:tc>
        <w:tc>
          <w:tcPr>
            <w:tcW w:w="3700" w:type="dxa"/>
            <w:vAlign w:val="bottom"/>
          </w:tcPr>
          <w:p>
            <w:pPr>
              <w:spacing w:after="0"/>
              <w:rPr>
                <w:sz w:val="24"/>
                <w:szCs w:val="24"/>
                <w:color w:val="auto"/>
              </w:rPr>
            </w:pPr>
          </w:p>
        </w:tc>
      </w:tr>
      <w:tr>
        <w:trPr>
          <w:trHeight w:val="272"/>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Kevin D. Mowbray</w:t>
            </w:r>
          </w:p>
        </w:tc>
        <w:tc>
          <w:tcPr>
            <w:tcW w:w="3700" w:type="dxa"/>
            <w:vAlign w:val="bottom"/>
          </w:tcPr>
          <w:p>
            <w:pPr>
              <w:ind w:left="200"/>
              <w:spacing w:after="0"/>
              <w:rPr>
                <w:sz w:val="20"/>
                <w:szCs w:val="20"/>
                <w:color w:val="auto"/>
              </w:rPr>
            </w:pPr>
            <w:r>
              <w:rPr>
                <w:rFonts w:ascii="Arial" w:cs="Arial" w:eastAsia="Arial" w:hAnsi="Arial"/>
                <w:sz w:val="18"/>
                <w:szCs w:val="18"/>
                <w:color w:val="auto"/>
              </w:rPr>
              <w:t>President and Director</w:t>
            </w:r>
          </w:p>
        </w:tc>
      </w:tr>
      <w:tr>
        <w:trPr>
          <w:trHeight w:val="230"/>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Timothy R. Millage</w:t>
            </w:r>
          </w:p>
        </w:tc>
        <w:tc>
          <w:tcPr>
            <w:tcW w:w="3700" w:type="dxa"/>
            <w:vAlign w:val="bottom"/>
          </w:tcPr>
          <w:p>
            <w:pPr>
              <w:ind w:left="200"/>
              <w:spacing w:after="0"/>
              <w:rPr>
                <w:sz w:val="20"/>
                <w:szCs w:val="20"/>
                <w:color w:val="auto"/>
              </w:rPr>
            </w:pPr>
            <w:r>
              <w:rPr>
                <w:rFonts w:ascii="Arial" w:cs="Arial" w:eastAsia="Arial" w:hAnsi="Arial"/>
                <w:sz w:val="18"/>
                <w:szCs w:val="18"/>
                <w:color w:val="auto"/>
              </w:rPr>
              <w:t>Vice President and Treasurer</w:t>
            </w:r>
          </w:p>
        </w:tc>
      </w:tr>
      <w:tr>
        <w:trPr>
          <w:trHeight w:val="229"/>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T.F. Olt III</w:t>
            </w:r>
          </w:p>
        </w:tc>
        <w:tc>
          <w:tcPr>
            <w:tcW w:w="3700" w:type="dxa"/>
            <w:vAlign w:val="bottom"/>
          </w:tcPr>
          <w:p>
            <w:pPr>
              <w:ind w:left="200"/>
              <w:spacing w:after="0"/>
              <w:rPr>
                <w:sz w:val="20"/>
                <w:szCs w:val="20"/>
                <w:color w:val="auto"/>
              </w:rPr>
            </w:pPr>
            <w:r>
              <w:rPr>
                <w:rFonts w:ascii="Arial" w:cs="Arial" w:eastAsia="Arial" w:hAnsi="Arial"/>
                <w:sz w:val="18"/>
                <w:szCs w:val="18"/>
                <w:color w:val="auto"/>
              </w:rPr>
              <w:t>Secretary and Director</w:t>
            </w:r>
          </w:p>
        </w:tc>
      </w:tr>
      <w:tr>
        <w:trPr>
          <w:trHeight w:val="230"/>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Jared Marks</w:t>
            </w:r>
          </w:p>
        </w:tc>
        <w:tc>
          <w:tcPr>
            <w:tcW w:w="3700" w:type="dxa"/>
            <w:vAlign w:val="bottom"/>
          </w:tcPr>
          <w:p>
            <w:pPr>
              <w:ind w:left="200"/>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0"/>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Jena Quinnell</w:t>
            </w:r>
          </w:p>
        </w:tc>
        <w:tc>
          <w:tcPr>
            <w:tcW w:w="3700" w:type="dxa"/>
            <w:vAlign w:val="bottom"/>
          </w:tcPr>
          <w:p>
            <w:pPr>
              <w:ind w:left="200"/>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9"/>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Astrid Garcia</w:t>
            </w:r>
          </w:p>
        </w:tc>
        <w:tc>
          <w:tcPr>
            <w:tcW w:w="3700" w:type="dxa"/>
            <w:vAlign w:val="bottom"/>
          </w:tcPr>
          <w:p>
            <w:pPr>
              <w:ind w:left="200"/>
              <w:spacing w:after="0"/>
              <w:rPr>
                <w:sz w:val="20"/>
                <w:szCs w:val="20"/>
                <w:color w:val="auto"/>
              </w:rPr>
            </w:pPr>
            <w:r>
              <w:rPr>
                <w:rFonts w:ascii="Arial" w:cs="Arial" w:eastAsia="Arial" w:hAnsi="Arial"/>
                <w:sz w:val="18"/>
                <w:szCs w:val="18"/>
                <w:color w:val="auto"/>
              </w:rPr>
              <w:t>Vice President - Legal</w:t>
            </w:r>
          </w:p>
        </w:tc>
      </w:tr>
    </w:tbl>
    <w:p>
      <w:pPr>
        <w:sectPr>
          <w:pgSz w:w="11900" w:h="16838" w:orient="portrait"/>
          <w:cols w:equalWidth="0" w:num="1">
            <w:col w:w="10139"/>
          </w:cols>
          <w:pgMar w:left="320" w:top="1391" w:right="1440" w:bottom="1440" w:gutter="0" w:footer="0" w:header="0"/>
        </w:sectPr>
      </w:pPr>
    </w:p>
    <w:bookmarkStart w:id="79" w:name="page80"/>
    <w:bookmarkEnd w:id="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gridSpan w:val="5"/>
          </w:tcPr>
          <w:p>
            <w:pPr>
              <w:spacing w:after="0"/>
              <w:rPr>
                <w:sz w:val="20"/>
                <w:szCs w:val="20"/>
                <w:color w:val="auto"/>
              </w:rPr>
            </w:pPr>
            <w:r>
              <w:rPr>
                <w:rFonts w:ascii="Arial" w:cs="Arial" w:eastAsia="Arial" w:hAnsi="Arial"/>
                <w:sz w:val="18"/>
                <w:szCs w:val="18"/>
                <w:b w:val="1"/>
                <w:bCs w:val="1"/>
                <w:color w:val="auto"/>
              </w:rPr>
              <w:t>NVR LIQUIDATION CO.</w:t>
            </w:r>
          </w:p>
        </w:tc>
        <w:tc>
          <w:tcPr>
            <w:tcW w:w="3500" w:type="dxa"/>
            <w:vAlign w:val="bottom"/>
          </w:tcPr>
          <w:p>
            <w:pPr>
              <w:spacing w:after="0"/>
              <w:rPr>
                <w:sz w:val="17"/>
                <w:szCs w:val="17"/>
                <w:color w:val="auto"/>
              </w:rPr>
            </w:pPr>
          </w:p>
        </w:tc>
      </w:tr>
      <w:tr>
        <w:trPr>
          <w:trHeight w:val="272"/>
        </w:trPr>
        <w:tc>
          <w:tcPr>
            <w:tcW w:w="19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Kevin D. Mowbray</w:t>
            </w:r>
          </w:p>
        </w:tc>
        <w:tc>
          <w:tcPr>
            <w:tcW w:w="1640" w:type="dxa"/>
            <w:vAlign w:val="bottom"/>
            <w:gridSpan w:val="3"/>
          </w:tcPr>
          <w:p>
            <w:pPr>
              <w:spacing w:after="0"/>
              <w:rPr>
                <w:sz w:val="23"/>
                <w:szCs w:val="23"/>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President and Director</w:t>
            </w:r>
          </w:p>
        </w:tc>
      </w:tr>
      <w:tr>
        <w:trPr>
          <w:trHeight w:val="229"/>
        </w:trPr>
        <w:tc>
          <w:tcPr>
            <w:tcW w:w="3600" w:type="dxa"/>
            <w:vAlign w:val="bottom"/>
            <w:gridSpan w:val="5"/>
          </w:tcPr>
          <w:p>
            <w:pPr>
              <w:ind w:left="20"/>
              <w:spacing w:after="0"/>
              <w:rPr>
                <w:sz w:val="20"/>
                <w:szCs w:val="20"/>
                <w:color w:val="auto"/>
              </w:rPr>
            </w:pPr>
            <w:r>
              <w:rPr>
                <w:rFonts w:ascii="Arial" w:cs="Arial" w:eastAsia="Arial" w:hAnsi="Arial"/>
                <w:sz w:val="18"/>
                <w:szCs w:val="18"/>
                <w:color w:val="auto"/>
              </w:rPr>
              <w:t>Timothy R. Millage</w:t>
            </w:r>
          </w:p>
        </w:tc>
        <w:tc>
          <w:tcPr>
            <w:tcW w:w="3500" w:type="dxa"/>
            <w:vAlign w:val="bottom"/>
          </w:tcPr>
          <w:p>
            <w:pPr>
              <w:spacing w:after="0"/>
              <w:rPr>
                <w:sz w:val="20"/>
                <w:szCs w:val="20"/>
                <w:color w:val="auto"/>
              </w:rPr>
            </w:pPr>
            <w:r>
              <w:rPr>
                <w:rFonts w:ascii="Arial" w:cs="Arial" w:eastAsia="Arial" w:hAnsi="Arial"/>
                <w:sz w:val="18"/>
                <w:szCs w:val="18"/>
                <w:color w:val="auto"/>
              </w:rPr>
              <w:t>Vice President, Treasurer and Director</w:t>
            </w:r>
          </w:p>
        </w:tc>
      </w:tr>
      <w:tr>
        <w:trPr>
          <w:trHeight w:val="229"/>
        </w:trPr>
        <w:tc>
          <w:tcPr>
            <w:tcW w:w="3600" w:type="dxa"/>
            <w:vAlign w:val="bottom"/>
            <w:gridSpan w:val="5"/>
          </w:tcPr>
          <w:p>
            <w:pPr>
              <w:ind w:left="20"/>
              <w:spacing w:after="0"/>
              <w:rPr>
                <w:sz w:val="20"/>
                <w:szCs w:val="20"/>
                <w:color w:val="auto"/>
              </w:rPr>
            </w:pPr>
            <w:r>
              <w:rPr>
                <w:rFonts w:ascii="Arial" w:cs="Arial" w:eastAsia="Arial" w:hAnsi="Arial"/>
                <w:sz w:val="18"/>
                <w:szCs w:val="18"/>
                <w:color w:val="auto"/>
              </w:rPr>
              <w:t>T.F. Olt III</w:t>
            </w:r>
          </w:p>
        </w:tc>
        <w:tc>
          <w:tcPr>
            <w:tcW w:w="3500" w:type="dxa"/>
            <w:vAlign w:val="bottom"/>
          </w:tcPr>
          <w:p>
            <w:pPr>
              <w:spacing w:after="0"/>
              <w:rPr>
                <w:sz w:val="20"/>
                <w:szCs w:val="20"/>
                <w:color w:val="auto"/>
              </w:rPr>
            </w:pPr>
            <w:r>
              <w:rPr>
                <w:rFonts w:ascii="Arial" w:cs="Arial" w:eastAsia="Arial" w:hAnsi="Arial"/>
                <w:sz w:val="18"/>
                <w:szCs w:val="18"/>
                <w:color w:val="auto"/>
              </w:rPr>
              <w:t>Secretary and Director</w:t>
            </w:r>
          </w:p>
        </w:tc>
      </w:tr>
      <w:tr>
        <w:trPr>
          <w:trHeight w:val="230"/>
        </w:trPr>
        <w:tc>
          <w:tcPr>
            <w:tcW w:w="3600" w:type="dxa"/>
            <w:vAlign w:val="bottom"/>
            <w:gridSpan w:val="5"/>
          </w:tcPr>
          <w:p>
            <w:pPr>
              <w:ind w:left="20"/>
              <w:spacing w:after="0"/>
              <w:rPr>
                <w:sz w:val="20"/>
                <w:szCs w:val="20"/>
                <w:color w:val="auto"/>
              </w:rPr>
            </w:pPr>
            <w:r>
              <w:rPr>
                <w:rFonts w:ascii="Arial" w:cs="Arial" w:eastAsia="Arial" w:hAnsi="Arial"/>
                <w:sz w:val="18"/>
                <w:szCs w:val="18"/>
                <w:color w:val="auto"/>
              </w:rPr>
              <w:t>Jared Marks</w:t>
            </w:r>
          </w:p>
        </w:tc>
        <w:tc>
          <w:tcPr>
            <w:tcW w:w="3500" w:type="dxa"/>
            <w:vAlign w:val="bottom"/>
          </w:tcPr>
          <w:p>
            <w:pPr>
              <w:spacing w:after="0"/>
              <w:rPr>
                <w:sz w:val="20"/>
                <w:szCs w:val="20"/>
                <w:color w:val="auto"/>
              </w:rPr>
            </w:pPr>
            <w:r>
              <w:rPr>
                <w:rFonts w:ascii="Arial" w:cs="Arial" w:eastAsia="Arial" w:hAnsi="Arial"/>
                <w:sz w:val="18"/>
                <w:szCs w:val="18"/>
                <w:color w:val="auto"/>
                <w:w w:val="99"/>
              </w:rPr>
              <w:t>Assistant Secretary and Assistant Treasurer</w:t>
            </w:r>
          </w:p>
        </w:tc>
      </w:tr>
      <w:tr>
        <w:trPr>
          <w:trHeight w:val="229"/>
        </w:trPr>
        <w:tc>
          <w:tcPr>
            <w:tcW w:w="3600" w:type="dxa"/>
            <w:vAlign w:val="bottom"/>
            <w:gridSpan w:val="5"/>
          </w:tcPr>
          <w:p>
            <w:pPr>
              <w:ind w:left="20"/>
              <w:spacing w:after="0"/>
              <w:rPr>
                <w:sz w:val="20"/>
                <w:szCs w:val="20"/>
                <w:color w:val="auto"/>
              </w:rPr>
            </w:pPr>
            <w:r>
              <w:rPr>
                <w:rFonts w:ascii="Arial" w:cs="Arial" w:eastAsia="Arial" w:hAnsi="Arial"/>
                <w:sz w:val="18"/>
                <w:szCs w:val="18"/>
                <w:color w:val="auto"/>
              </w:rPr>
              <w:t>Jena Quinnell</w:t>
            </w:r>
          </w:p>
        </w:tc>
        <w:tc>
          <w:tcPr>
            <w:tcW w:w="3500" w:type="dxa"/>
            <w:vAlign w:val="bottom"/>
          </w:tcPr>
          <w:p>
            <w:pPr>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9"/>
        </w:trPr>
        <w:tc>
          <w:tcPr>
            <w:tcW w:w="3600" w:type="dxa"/>
            <w:vAlign w:val="bottom"/>
            <w:gridSpan w:val="5"/>
          </w:tcPr>
          <w:p>
            <w:pPr>
              <w:ind w:left="20"/>
              <w:spacing w:after="0"/>
              <w:rPr>
                <w:sz w:val="20"/>
                <w:szCs w:val="20"/>
                <w:color w:val="auto"/>
              </w:rPr>
            </w:pPr>
            <w:r>
              <w:rPr>
                <w:rFonts w:ascii="Arial" w:cs="Arial" w:eastAsia="Arial" w:hAnsi="Arial"/>
                <w:sz w:val="18"/>
                <w:szCs w:val="18"/>
                <w:color w:val="auto"/>
              </w:rPr>
              <w:t>Astrid Garcia</w:t>
            </w:r>
          </w:p>
        </w:tc>
        <w:tc>
          <w:tcPr>
            <w:tcW w:w="3500" w:type="dxa"/>
            <w:vAlign w:val="bottom"/>
          </w:tcPr>
          <w:p>
            <w:pPr>
              <w:spacing w:after="0"/>
              <w:rPr>
                <w:sz w:val="20"/>
                <w:szCs w:val="20"/>
                <w:color w:val="auto"/>
              </w:rPr>
            </w:pPr>
            <w:r>
              <w:rPr>
                <w:rFonts w:ascii="Arial" w:cs="Arial" w:eastAsia="Arial" w:hAnsi="Arial"/>
                <w:sz w:val="18"/>
                <w:szCs w:val="18"/>
                <w:color w:val="auto"/>
              </w:rPr>
              <w:t>Vice President - Legal</w:t>
            </w:r>
          </w:p>
        </w:tc>
      </w:tr>
      <w:tr>
        <w:trPr>
          <w:trHeight w:val="496"/>
        </w:trPr>
        <w:tc>
          <w:tcPr>
            <w:tcW w:w="3600" w:type="dxa"/>
            <w:vAlign w:val="bottom"/>
            <w:gridSpan w:val="5"/>
          </w:tcPr>
          <w:p>
            <w:pPr>
              <w:spacing w:after="0"/>
              <w:rPr>
                <w:sz w:val="20"/>
                <w:szCs w:val="20"/>
                <w:color w:val="auto"/>
              </w:rPr>
            </w:pPr>
            <w:r>
              <w:rPr>
                <w:rFonts w:ascii="Arial" w:cs="Arial" w:eastAsia="Arial" w:hAnsi="Arial"/>
                <w:sz w:val="18"/>
                <w:szCs w:val="18"/>
                <w:b w:val="1"/>
                <w:bCs w:val="1"/>
                <w:color w:val="auto"/>
              </w:rPr>
              <w:t>PANTAGRAPH PUBLISHING CO.</w:t>
            </w:r>
          </w:p>
        </w:tc>
        <w:tc>
          <w:tcPr>
            <w:tcW w:w="3500" w:type="dxa"/>
            <w:vAlign w:val="bottom"/>
          </w:tcPr>
          <w:p>
            <w:pPr>
              <w:spacing w:after="0"/>
              <w:rPr>
                <w:sz w:val="24"/>
                <w:szCs w:val="24"/>
                <w:color w:val="auto"/>
              </w:rPr>
            </w:pPr>
          </w:p>
        </w:tc>
      </w:tr>
      <w:tr>
        <w:trPr>
          <w:trHeight w:val="272"/>
        </w:trPr>
        <w:tc>
          <w:tcPr>
            <w:tcW w:w="278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color w:val="auto"/>
              </w:rPr>
              <w:t>Kevin D. Mowbray</w:t>
            </w:r>
          </w:p>
        </w:tc>
        <w:tc>
          <w:tcPr>
            <w:tcW w:w="820" w:type="dxa"/>
            <w:vAlign w:val="bottom"/>
          </w:tcPr>
          <w:p>
            <w:pPr>
              <w:spacing w:after="0"/>
              <w:rPr>
                <w:sz w:val="23"/>
                <w:szCs w:val="23"/>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President and Director</w:t>
            </w:r>
          </w:p>
        </w:tc>
      </w:tr>
      <w:tr>
        <w:trPr>
          <w:trHeight w:val="230"/>
        </w:trPr>
        <w:tc>
          <w:tcPr>
            <w:tcW w:w="3600" w:type="dxa"/>
            <w:vAlign w:val="bottom"/>
            <w:gridSpan w:val="5"/>
          </w:tcPr>
          <w:p>
            <w:pPr>
              <w:ind w:left="20"/>
              <w:spacing w:after="0"/>
              <w:rPr>
                <w:sz w:val="20"/>
                <w:szCs w:val="20"/>
                <w:color w:val="auto"/>
              </w:rPr>
            </w:pPr>
            <w:r>
              <w:rPr>
                <w:rFonts w:ascii="Arial" w:cs="Arial" w:eastAsia="Arial" w:hAnsi="Arial"/>
                <w:sz w:val="18"/>
                <w:szCs w:val="18"/>
                <w:color w:val="auto"/>
              </w:rPr>
              <w:t>Timothy R. Millage</w:t>
            </w:r>
          </w:p>
        </w:tc>
        <w:tc>
          <w:tcPr>
            <w:tcW w:w="3500" w:type="dxa"/>
            <w:vAlign w:val="bottom"/>
          </w:tcPr>
          <w:p>
            <w:pPr>
              <w:spacing w:after="0"/>
              <w:rPr>
                <w:sz w:val="20"/>
                <w:szCs w:val="20"/>
                <w:color w:val="auto"/>
              </w:rPr>
            </w:pPr>
            <w:r>
              <w:rPr>
                <w:rFonts w:ascii="Arial" w:cs="Arial" w:eastAsia="Arial" w:hAnsi="Arial"/>
                <w:sz w:val="18"/>
                <w:szCs w:val="18"/>
                <w:color w:val="auto"/>
              </w:rPr>
              <w:t>Vice President, Treasurer and Director</w:t>
            </w:r>
          </w:p>
        </w:tc>
      </w:tr>
      <w:tr>
        <w:trPr>
          <w:trHeight w:val="229"/>
        </w:trPr>
        <w:tc>
          <w:tcPr>
            <w:tcW w:w="3600" w:type="dxa"/>
            <w:vAlign w:val="bottom"/>
            <w:gridSpan w:val="5"/>
          </w:tcPr>
          <w:p>
            <w:pPr>
              <w:ind w:left="20"/>
              <w:spacing w:after="0"/>
              <w:rPr>
                <w:sz w:val="20"/>
                <w:szCs w:val="20"/>
                <w:color w:val="auto"/>
              </w:rPr>
            </w:pPr>
            <w:r>
              <w:rPr>
                <w:rFonts w:ascii="Arial" w:cs="Arial" w:eastAsia="Arial" w:hAnsi="Arial"/>
                <w:sz w:val="18"/>
                <w:szCs w:val="18"/>
                <w:color w:val="auto"/>
              </w:rPr>
              <w:t>T.F. Olt III</w:t>
            </w:r>
          </w:p>
        </w:tc>
        <w:tc>
          <w:tcPr>
            <w:tcW w:w="3500" w:type="dxa"/>
            <w:vAlign w:val="bottom"/>
          </w:tcPr>
          <w:p>
            <w:pPr>
              <w:spacing w:after="0"/>
              <w:rPr>
                <w:sz w:val="20"/>
                <w:szCs w:val="20"/>
                <w:color w:val="auto"/>
              </w:rPr>
            </w:pPr>
            <w:r>
              <w:rPr>
                <w:rFonts w:ascii="Arial" w:cs="Arial" w:eastAsia="Arial" w:hAnsi="Arial"/>
                <w:sz w:val="18"/>
                <w:szCs w:val="18"/>
                <w:color w:val="auto"/>
              </w:rPr>
              <w:t>Secretary and Director</w:t>
            </w:r>
          </w:p>
        </w:tc>
      </w:tr>
      <w:tr>
        <w:trPr>
          <w:trHeight w:val="229"/>
        </w:trPr>
        <w:tc>
          <w:tcPr>
            <w:tcW w:w="3600" w:type="dxa"/>
            <w:vAlign w:val="bottom"/>
            <w:gridSpan w:val="5"/>
          </w:tcPr>
          <w:p>
            <w:pPr>
              <w:ind w:left="20"/>
              <w:spacing w:after="0"/>
              <w:rPr>
                <w:sz w:val="20"/>
                <w:szCs w:val="20"/>
                <w:color w:val="auto"/>
              </w:rPr>
            </w:pPr>
            <w:r>
              <w:rPr>
                <w:rFonts w:ascii="Arial" w:cs="Arial" w:eastAsia="Arial" w:hAnsi="Arial"/>
                <w:sz w:val="18"/>
                <w:szCs w:val="18"/>
                <w:color w:val="auto"/>
              </w:rPr>
              <w:t>Jared Marks</w:t>
            </w:r>
          </w:p>
        </w:tc>
        <w:tc>
          <w:tcPr>
            <w:tcW w:w="3500" w:type="dxa"/>
            <w:vAlign w:val="bottom"/>
          </w:tcPr>
          <w:p>
            <w:pPr>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0"/>
        </w:trPr>
        <w:tc>
          <w:tcPr>
            <w:tcW w:w="3600" w:type="dxa"/>
            <w:vAlign w:val="bottom"/>
            <w:gridSpan w:val="5"/>
          </w:tcPr>
          <w:p>
            <w:pPr>
              <w:ind w:left="20"/>
              <w:spacing w:after="0"/>
              <w:rPr>
                <w:sz w:val="20"/>
                <w:szCs w:val="20"/>
                <w:color w:val="auto"/>
              </w:rPr>
            </w:pPr>
            <w:r>
              <w:rPr>
                <w:rFonts w:ascii="Arial" w:cs="Arial" w:eastAsia="Arial" w:hAnsi="Arial"/>
                <w:sz w:val="18"/>
                <w:szCs w:val="18"/>
                <w:color w:val="auto"/>
              </w:rPr>
              <w:t>Jena Quinnell</w:t>
            </w:r>
          </w:p>
        </w:tc>
        <w:tc>
          <w:tcPr>
            <w:tcW w:w="3500" w:type="dxa"/>
            <w:vAlign w:val="bottom"/>
          </w:tcPr>
          <w:p>
            <w:pPr>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9"/>
        </w:trPr>
        <w:tc>
          <w:tcPr>
            <w:tcW w:w="3600" w:type="dxa"/>
            <w:vAlign w:val="bottom"/>
            <w:gridSpan w:val="5"/>
          </w:tcPr>
          <w:p>
            <w:pPr>
              <w:ind w:left="20"/>
              <w:spacing w:after="0"/>
              <w:rPr>
                <w:sz w:val="20"/>
                <w:szCs w:val="20"/>
                <w:color w:val="auto"/>
              </w:rPr>
            </w:pPr>
            <w:r>
              <w:rPr>
                <w:rFonts w:ascii="Arial" w:cs="Arial" w:eastAsia="Arial" w:hAnsi="Arial"/>
                <w:sz w:val="18"/>
                <w:szCs w:val="18"/>
                <w:color w:val="auto"/>
              </w:rPr>
              <w:t>Astrid Garcia</w:t>
            </w:r>
          </w:p>
        </w:tc>
        <w:tc>
          <w:tcPr>
            <w:tcW w:w="3500" w:type="dxa"/>
            <w:vAlign w:val="bottom"/>
          </w:tcPr>
          <w:p>
            <w:pPr>
              <w:spacing w:after="0"/>
              <w:rPr>
                <w:sz w:val="20"/>
                <w:szCs w:val="20"/>
                <w:color w:val="auto"/>
              </w:rPr>
            </w:pPr>
            <w:r>
              <w:rPr>
                <w:rFonts w:ascii="Arial" w:cs="Arial" w:eastAsia="Arial" w:hAnsi="Arial"/>
                <w:sz w:val="18"/>
                <w:szCs w:val="18"/>
                <w:color w:val="auto"/>
              </w:rPr>
              <w:t>Vice President - Legal</w:t>
            </w:r>
          </w:p>
        </w:tc>
      </w:tr>
      <w:tr>
        <w:trPr>
          <w:trHeight w:val="482"/>
        </w:trPr>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PULITZER INC.</w:t>
            </w:r>
          </w:p>
        </w:tc>
        <w:tc>
          <w:tcPr>
            <w:tcW w:w="2300" w:type="dxa"/>
            <w:vAlign w:val="bottom"/>
            <w:gridSpan w:val="4"/>
          </w:tcPr>
          <w:p>
            <w:pPr>
              <w:spacing w:after="0"/>
              <w:rPr>
                <w:sz w:val="24"/>
                <w:szCs w:val="24"/>
                <w:color w:val="auto"/>
              </w:rPr>
            </w:pPr>
          </w:p>
        </w:tc>
        <w:tc>
          <w:tcPr>
            <w:tcW w:w="3500" w:type="dxa"/>
            <w:vAlign w:val="bottom"/>
          </w:tcPr>
          <w:p>
            <w:pPr>
              <w:spacing w:after="0"/>
              <w:rPr>
                <w:sz w:val="24"/>
                <w:szCs w:val="24"/>
                <w:color w:val="auto"/>
              </w:rPr>
            </w:pPr>
          </w:p>
        </w:tc>
      </w:tr>
      <w:tr>
        <w:trPr>
          <w:trHeight w:val="272"/>
        </w:trPr>
        <w:tc>
          <w:tcPr>
            <w:tcW w:w="3600" w:type="dxa"/>
            <w:vAlign w:val="bottom"/>
            <w:gridSpan w:val="5"/>
          </w:tcPr>
          <w:p>
            <w:pPr>
              <w:ind w:left="20"/>
              <w:spacing w:after="0"/>
              <w:rPr>
                <w:sz w:val="20"/>
                <w:szCs w:val="20"/>
                <w:color w:val="auto"/>
              </w:rPr>
            </w:pPr>
            <w:r>
              <w:rPr>
                <w:rFonts w:ascii="Arial" w:cs="Arial" w:eastAsia="Arial" w:hAnsi="Arial"/>
                <w:sz w:val="18"/>
                <w:szCs w:val="18"/>
                <w:color w:val="auto"/>
              </w:rPr>
              <w:t>Kevin D. Mowbray</w:t>
            </w:r>
          </w:p>
        </w:tc>
        <w:tc>
          <w:tcPr>
            <w:tcW w:w="3500" w:type="dxa"/>
            <w:vAlign w:val="bottom"/>
          </w:tcPr>
          <w:p>
            <w:pPr>
              <w:spacing w:after="0"/>
              <w:rPr>
                <w:sz w:val="20"/>
                <w:szCs w:val="20"/>
                <w:color w:val="auto"/>
              </w:rPr>
            </w:pPr>
            <w:r>
              <w:rPr>
                <w:rFonts w:ascii="Arial" w:cs="Arial" w:eastAsia="Arial" w:hAnsi="Arial"/>
                <w:sz w:val="18"/>
                <w:szCs w:val="18"/>
                <w:color w:val="auto"/>
              </w:rPr>
              <w:t>President and Director</w:t>
            </w:r>
          </w:p>
        </w:tc>
      </w:tr>
      <w:tr>
        <w:trPr>
          <w:trHeight w:val="229"/>
        </w:trPr>
        <w:tc>
          <w:tcPr>
            <w:tcW w:w="3600" w:type="dxa"/>
            <w:vAlign w:val="bottom"/>
            <w:gridSpan w:val="5"/>
          </w:tcPr>
          <w:p>
            <w:pPr>
              <w:ind w:left="20"/>
              <w:spacing w:after="0"/>
              <w:rPr>
                <w:sz w:val="20"/>
                <w:szCs w:val="20"/>
                <w:color w:val="auto"/>
              </w:rPr>
            </w:pPr>
            <w:r>
              <w:rPr>
                <w:rFonts w:ascii="Arial" w:cs="Arial" w:eastAsia="Arial" w:hAnsi="Arial"/>
                <w:sz w:val="18"/>
                <w:szCs w:val="18"/>
                <w:color w:val="auto"/>
              </w:rPr>
              <w:t>Astrid Garcia</w:t>
            </w:r>
          </w:p>
        </w:tc>
        <w:tc>
          <w:tcPr>
            <w:tcW w:w="3500" w:type="dxa"/>
            <w:vAlign w:val="bottom"/>
          </w:tcPr>
          <w:p>
            <w:pPr>
              <w:spacing w:after="0"/>
              <w:rPr>
                <w:sz w:val="20"/>
                <w:szCs w:val="20"/>
                <w:color w:val="auto"/>
              </w:rPr>
            </w:pPr>
            <w:r>
              <w:rPr>
                <w:rFonts w:ascii="Arial" w:cs="Arial" w:eastAsia="Arial" w:hAnsi="Arial"/>
                <w:sz w:val="18"/>
                <w:szCs w:val="18"/>
                <w:color w:val="auto"/>
              </w:rPr>
              <w:t>Vice President and Director</w:t>
            </w:r>
          </w:p>
        </w:tc>
      </w:tr>
      <w:tr>
        <w:trPr>
          <w:trHeight w:val="229"/>
        </w:trPr>
        <w:tc>
          <w:tcPr>
            <w:tcW w:w="3600" w:type="dxa"/>
            <w:vAlign w:val="bottom"/>
            <w:gridSpan w:val="5"/>
          </w:tcPr>
          <w:p>
            <w:pPr>
              <w:ind w:left="20"/>
              <w:spacing w:after="0"/>
              <w:rPr>
                <w:sz w:val="20"/>
                <w:szCs w:val="20"/>
                <w:color w:val="auto"/>
              </w:rPr>
            </w:pPr>
            <w:r>
              <w:rPr>
                <w:rFonts w:ascii="Arial" w:cs="Arial" w:eastAsia="Arial" w:hAnsi="Arial"/>
                <w:sz w:val="18"/>
                <w:szCs w:val="18"/>
                <w:color w:val="auto"/>
              </w:rPr>
              <w:t>T.F. Olt III</w:t>
            </w:r>
          </w:p>
        </w:tc>
        <w:tc>
          <w:tcPr>
            <w:tcW w:w="3500" w:type="dxa"/>
            <w:vAlign w:val="bottom"/>
          </w:tcPr>
          <w:p>
            <w:pPr>
              <w:spacing w:after="0"/>
              <w:rPr>
                <w:sz w:val="20"/>
                <w:szCs w:val="20"/>
                <w:color w:val="auto"/>
              </w:rPr>
            </w:pPr>
            <w:r>
              <w:rPr>
                <w:rFonts w:ascii="Arial" w:cs="Arial" w:eastAsia="Arial" w:hAnsi="Arial"/>
                <w:sz w:val="18"/>
                <w:szCs w:val="18"/>
                <w:color w:val="auto"/>
              </w:rPr>
              <w:t>Secretary and Director</w:t>
            </w:r>
          </w:p>
        </w:tc>
      </w:tr>
      <w:tr>
        <w:trPr>
          <w:trHeight w:val="230"/>
        </w:trPr>
        <w:tc>
          <w:tcPr>
            <w:tcW w:w="3600" w:type="dxa"/>
            <w:vAlign w:val="bottom"/>
            <w:gridSpan w:val="5"/>
          </w:tcPr>
          <w:p>
            <w:pPr>
              <w:ind w:left="20"/>
              <w:spacing w:after="0"/>
              <w:rPr>
                <w:sz w:val="20"/>
                <w:szCs w:val="20"/>
                <w:color w:val="auto"/>
              </w:rPr>
            </w:pPr>
            <w:r>
              <w:rPr>
                <w:rFonts w:ascii="Arial" w:cs="Arial" w:eastAsia="Arial" w:hAnsi="Arial"/>
                <w:sz w:val="18"/>
                <w:szCs w:val="18"/>
                <w:color w:val="auto"/>
              </w:rPr>
              <w:t>Timothy R. Millage</w:t>
            </w:r>
          </w:p>
        </w:tc>
        <w:tc>
          <w:tcPr>
            <w:tcW w:w="3500" w:type="dxa"/>
            <w:vAlign w:val="bottom"/>
          </w:tcPr>
          <w:p>
            <w:pPr>
              <w:spacing w:after="0"/>
              <w:rPr>
                <w:sz w:val="20"/>
                <w:szCs w:val="20"/>
                <w:color w:val="auto"/>
              </w:rPr>
            </w:pPr>
            <w:r>
              <w:rPr>
                <w:rFonts w:ascii="Arial" w:cs="Arial" w:eastAsia="Arial" w:hAnsi="Arial"/>
                <w:sz w:val="18"/>
                <w:szCs w:val="18"/>
                <w:color w:val="auto"/>
              </w:rPr>
              <w:t>Treasurer and Director</w:t>
            </w:r>
          </w:p>
        </w:tc>
      </w:tr>
      <w:tr>
        <w:trPr>
          <w:trHeight w:val="230"/>
        </w:trPr>
        <w:tc>
          <w:tcPr>
            <w:tcW w:w="3600" w:type="dxa"/>
            <w:vAlign w:val="bottom"/>
            <w:gridSpan w:val="5"/>
          </w:tcPr>
          <w:p>
            <w:pPr>
              <w:ind w:left="20"/>
              <w:spacing w:after="0"/>
              <w:rPr>
                <w:sz w:val="20"/>
                <w:szCs w:val="20"/>
                <w:color w:val="auto"/>
              </w:rPr>
            </w:pPr>
            <w:r>
              <w:rPr>
                <w:rFonts w:ascii="Arial" w:cs="Arial" w:eastAsia="Arial" w:hAnsi="Arial"/>
                <w:sz w:val="18"/>
                <w:szCs w:val="18"/>
                <w:color w:val="auto"/>
              </w:rPr>
              <w:t>Nathan E. Bekke</w:t>
            </w:r>
          </w:p>
        </w:tc>
        <w:tc>
          <w:tcPr>
            <w:tcW w:w="350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3600" w:type="dxa"/>
            <w:vAlign w:val="bottom"/>
            <w:gridSpan w:val="5"/>
          </w:tcPr>
          <w:p>
            <w:pPr>
              <w:ind w:left="20"/>
              <w:spacing w:after="0"/>
              <w:rPr>
                <w:sz w:val="20"/>
                <w:szCs w:val="20"/>
                <w:color w:val="auto"/>
              </w:rPr>
            </w:pPr>
            <w:r>
              <w:rPr>
                <w:rFonts w:ascii="Arial" w:cs="Arial" w:eastAsia="Arial" w:hAnsi="Arial"/>
                <w:sz w:val="18"/>
                <w:szCs w:val="18"/>
                <w:color w:val="auto"/>
              </w:rPr>
              <w:t>Jared Marks</w:t>
            </w:r>
          </w:p>
        </w:tc>
        <w:tc>
          <w:tcPr>
            <w:tcW w:w="3500" w:type="dxa"/>
            <w:vAlign w:val="bottom"/>
          </w:tcPr>
          <w:p>
            <w:pPr>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9"/>
        </w:trPr>
        <w:tc>
          <w:tcPr>
            <w:tcW w:w="3600" w:type="dxa"/>
            <w:vAlign w:val="bottom"/>
            <w:gridSpan w:val="5"/>
          </w:tcPr>
          <w:p>
            <w:pPr>
              <w:ind w:left="20"/>
              <w:spacing w:after="0"/>
              <w:rPr>
                <w:sz w:val="20"/>
                <w:szCs w:val="20"/>
                <w:color w:val="auto"/>
              </w:rPr>
            </w:pPr>
            <w:r>
              <w:rPr>
                <w:rFonts w:ascii="Arial" w:cs="Arial" w:eastAsia="Arial" w:hAnsi="Arial"/>
                <w:sz w:val="18"/>
                <w:szCs w:val="18"/>
                <w:color w:val="auto"/>
              </w:rPr>
              <w:t>Jena Quinnell</w:t>
            </w:r>
          </w:p>
        </w:tc>
        <w:tc>
          <w:tcPr>
            <w:tcW w:w="3500" w:type="dxa"/>
            <w:vAlign w:val="bottom"/>
          </w:tcPr>
          <w:p>
            <w:pPr>
              <w:spacing w:after="0"/>
              <w:rPr>
                <w:sz w:val="20"/>
                <w:szCs w:val="20"/>
                <w:color w:val="auto"/>
              </w:rPr>
            </w:pPr>
            <w:r>
              <w:rPr>
                <w:rFonts w:ascii="Arial" w:cs="Arial" w:eastAsia="Arial" w:hAnsi="Arial"/>
                <w:sz w:val="18"/>
                <w:szCs w:val="18"/>
                <w:color w:val="auto"/>
                <w:w w:val="99"/>
              </w:rPr>
              <w:t>Assistant Secretary and Assistant Treasurer</w:t>
            </w:r>
          </w:p>
        </w:tc>
      </w:tr>
      <w:tr>
        <w:trPr>
          <w:trHeight w:val="495"/>
        </w:trPr>
        <w:tc>
          <w:tcPr>
            <w:tcW w:w="360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9"/>
              </w:rPr>
              <w:t>PULITZER MISSOURI NEWSPAPERS, INC.</w:t>
            </w:r>
          </w:p>
        </w:tc>
        <w:tc>
          <w:tcPr>
            <w:tcW w:w="3500" w:type="dxa"/>
            <w:vAlign w:val="bottom"/>
          </w:tcPr>
          <w:p>
            <w:pPr>
              <w:spacing w:after="0"/>
              <w:rPr>
                <w:sz w:val="24"/>
                <w:szCs w:val="24"/>
                <w:color w:val="auto"/>
              </w:rPr>
            </w:pPr>
          </w:p>
        </w:tc>
      </w:tr>
      <w:tr>
        <w:trPr>
          <w:trHeight w:val="272"/>
        </w:trPr>
        <w:tc>
          <w:tcPr>
            <w:tcW w:w="3600" w:type="dxa"/>
            <w:vAlign w:val="bottom"/>
            <w:gridSpan w:val="5"/>
          </w:tcPr>
          <w:p>
            <w:pPr>
              <w:ind w:left="20"/>
              <w:spacing w:after="0"/>
              <w:rPr>
                <w:sz w:val="20"/>
                <w:szCs w:val="20"/>
                <w:color w:val="auto"/>
              </w:rPr>
            </w:pPr>
            <w:r>
              <w:rPr>
                <w:rFonts w:ascii="Arial" w:cs="Arial" w:eastAsia="Arial" w:hAnsi="Arial"/>
                <w:sz w:val="18"/>
                <w:szCs w:val="18"/>
                <w:color w:val="auto"/>
              </w:rPr>
              <w:t>Kevin D. Mowbray</w:t>
            </w:r>
          </w:p>
        </w:tc>
        <w:tc>
          <w:tcPr>
            <w:tcW w:w="3500" w:type="dxa"/>
            <w:vAlign w:val="bottom"/>
          </w:tcPr>
          <w:p>
            <w:pPr>
              <w:spacing w:after="0"/>
              <w:rPr>
                <w:sz w:val="20"/>
                <w:szCs w:val="20"/>
                <w:color w:val="auto"/>
              </w:rPr>
            </w:pPr>
            <w:r>
              <w:rPr>
                <w:rFonts w:ascii="Arial" w:cs="Arial" w:eastAsia="Arial" w:hAnsi="Arial"/>
                <w:sz w:val="18"/>
                <w:szCs w:val="18"/>
                <w:color w:val="auto"/>
              </w:rPr>
              <w:t>President and Director</w:t>
            </w:r>
          </w:p>
        </w:tc>
      </w:tr>
      <w:tr>
        <w:trPr>
          <w:trHeight w:val="230"/>
        </w:trPr>
        <w:tc>
          <w:tcPr>
            <w:tcW w:w="3600" w:type="dxa"/>
            <w:vAlign w:val="bottom"/>
            <w:gridSpan w:val="5"/>
          </w:tcPr>
          <w:p>
            <w:pPr>
              <w:ind w:left="20"/>
              <w:spacing w:after="0"/>
              <w:rPr>
                <w:sz w:val="20"/>
                <w:szCs w:val="20"/>
                <w:color w:val="auto"/>
              </w:rPr>
            </w:pPr>
            <w:r>
              <w:rPr>
                <w:rFonts w:ascii="Arial" w:cs="Arial" w:eastAsia="Arial" w:hAnsi="Arial"/>
                <w:sz w:val="18"/>
                <w:szCs w:val="18"/>
                <w:color w:val="auto"/>
              </w:rPr>
              <w:t>Timothy R. Millage</w:t>
            </w:r>
          </w:p>
        </w:tc>
        <w:tc>
          <w:tcPr>
            <w:tcW w:w="3500" w:type="dxa"/>
            <w:vAlign w:val="bottom"/>
          </w:tcPr>
          <w:p>
            <w:pPr>
              <w:spacing w:after="0"/>
              <w:rPr>
                <w:sz w:val="20"/>
                <w:szCs w:val="20"/>
                <w:color w:val="auto"/>
              </w:rPr>
            </w:pPr>
            <w:r>
              <w:rPr>
                <w:rFonts w:ascii="Arial" w:cs="Arial" w:eastAsia="Arial" w:hAnsi="Arial"/>
                <w:sz w:val="18"/>
                <w:szCs w:val="18"/>
                <w:color w:val="auto"/>
              </w:rPr>
              <w:t>Vice President, Treasurer and Director</w:t>
            </w:r>
          </w:p>
        </w:tc>
      </w:tr>
      <w:tr>
        <w:trPr>
          <w:trHeight w:val="230"/>
        </w:trPr>
        <w:tc>
          <w:tcPr>
            <w:tcW w:w="3600" w:type="dxa"/>
            <w:vAlign w:val="bottom"/>
            <w:gridSpan w:val="5"/>
          </w:tcPr>
          <w:p>
            <w:pPr>
              <w:ind w:left="20"/>
              <w:spacing w:after="0"/>
              <w:rPr>
                <w:sz w:val="20"/>
                <w:szCs w:val="20"/>
                <w:color w:val="auto"/>
              </w:rPr>
            </w:pPr>
            <w:r>
              <w:rPr>
                <w:rFonts w:ascii="Arial" w:cs="Arial" w:eastAsia="Arial" w:hAnsi="Arial"/>
                <w:sz w:val="18"/>
                <w:szCs w:val="18"/>
                <w:color w:val="auto"/>
              </w:rPr>
              <w:t>T.F. Olt III</w:t>
            </w:r>
          </w:p>
        </w:tc>
        <w:tc>
          <w:tcPr>
            <w:tcW w:w="3500" w:type="dxa"/>
            <w:vAlign w:val="bottom"/>
          </w:tcPr>
          <w:p>
            <w:pPr>
              <w:spacing w:after="0"/>
              <w:rPr>
                <w:sz w:val="20"/>
                <w:szCs w:val="20"/>
                <w:color w:val="auto"/>
              </w:rPr>
            </w:pPr>
            <w:r>
              <w:rPr>
                <w:rFonts w:ascii="Arial" w:cs="Arial" w:eastAsia="Arial" w:hAnsi="Arial"/>
                <w:sz w:val="18"/>
                <w:szCs w:val="18"/>
                <w:color w:val="auto"/>
              </w:rPr>
              <w:t>Secretary and Director</w:t>
            </w:r>
          </w:p>
        </w:tc>
      </w:tr>
      <w:tr>
        <w:trPr>
          <w:trHeight w:val="230"/>
        </w:trPr>
        <w:tc>
          <w:tcPr>
            <w:tcW w:w="3600" w:type="dxa"/>
            <w:vAlign w:val="bottom"/>
            <w:gridSpan w:val="5"/>
          </w:tcPr>
          <w:p>
            <w:pPr>
              <w:ind w:left="20"/>
              <w:spacing w:after="0"/>
              <w:rPr>
                <w:sz w:val="20"/>
                <w:szCs w:val="20"/>
                <w:color w:val="auto"/>
              </w:rPr>
            </w:pPr>
            <w:r>
              <w:rPr>
                <w:rFonts w:ascii="Arial" w:cs="Arial" w:eastAsia="Arial" w:hAnsi="Arial"/>
                <w:sz w:val="18"/>
                <w:szCs w:val="18"/>
                <w:color w:val="auto"/>
              </w:rPr>
              <w:t>Jared Marks</w:t>
            </w:r>
          </w:p>
        </w:tc>
        <w:tc>
          <w:tcPr>
            <w:tcW w:w="3500" w:type="dxa"/>
            <w:vAlign w:val="bottom"/>
          </w:tcPr>
          <w:p>
            <w:pPr>
              <w:spacing w:after="0"/>
              <w:rPr>
                <w:sz w:val="20"/>
                <w:szCs w:val="20"/>
                <w:color w:val="auto"/>
              </w:rPr>
            </w:pPr>
            <w:r>
              <w:rPr>
                <w:rFonts w:ascii="Arial" w:cs="Arial" w:eastAsia="Arial" w:hAnsi="Arial"/>
                <w:sz w:val="18"/>
                <w:szCs w:val="18"/>
                <w:color w:val="auto"/>
                <w:w w:val="99"/>
              </w:rPr>
              <w:t>Assistant Secretary and Assistant Treasurer</w:t>
            </w:r>
          </w:p>
        </w:tc>
      </w:tr>
      <w:tr>
        <w:trPr>
          <w:trHeight w:val="229"/>
        </w:trPr>
        <w:tc>
          <w:tcPr>
            <w:tcW w:w="3600" w:type="dxa"/>
            <w:vAlign w:val="bottom"/>
            <w:gridSpan w:val="5"/>
          </w:tcPr>
          <w:p>
            <w:pPr>
              <w:ind w:left="20"/>
              <w:spacing w:after="0"/>
              <w:rPr>
                <w:sz w:val="20"/>
                <w:szCs w:val="20"/>
                <w:color w:val="auto"/>
              </w:rPr>
            </w:pPr>
            <w:r>
              <w:rPr>
                <w:rFonts w:ascii="Arial" w:cs="Arial" w:eastAsia="Arial" w:hAnsi="Arial"/>
                <w:sz w:val="18"/>
                <w:szCs w:val="18"/>
                <w:color w:val="auto"/>
              </w:rPr>
              <w:t>Jena Quinnell</w:t>
            </w:r>
          </w:p>
        </w:tc>
        <w:tc>
          <w:tcPr>
            <w:tcW w:w="3500" w:type="dxa"/>
            <w:vAlign w:val="bottom"/>
          </w:tcPr>
          <w:p>
            <w:pPr>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9"/>
        </w:trPr>
        <w:tc>
          <w:tcPr>
            <w:tcW w:w="3600" w:type="dxa"/>
            <w:vAlign w:val="bottom"/>
            <w:gridSpan w:val="5"/>
          </w:tcPr>
          <w:p>
            <w:pPr>
              <w:ind w:left="20"/>
              <w:spacing w:after="0"/>
              <w:rPr>
                <w:sz w:val="20"/>
                <w:szCs w:val="20"/>
                <w:color w:val="auto"/>
              </w:rPr>
            </w:pPr>
            <w:r>
              <w:rPr>
                <w:rFonts w:ascii="Arial" w:cs="Arial" w:eastAsia="Arial" w:hAnsi="Arial"/>
                <w:sz w:val="18"/>
                <w:szCs w:val="18"/>
                <w:color w:val="auto"/>
              </w:rPr>
              <w:t>Astrid Garcia</w:t>
            </w:r>
          </w:p>
        </w:tc>
        <w:tc>
          <w:tcPr>
            <w:tcW w:w="3500" w:type="dxa"/>
            <w:vAlign w:val="bottom"/>
          </w:tcPr>
          <w:p>
            <w:pPr>
              <w:spacing w:after="0"/>
              <w:rPr>
                <w:sz w:val="20"/>
                <w:szCs w:val="20"/>
                <w:color w:val="auto"/>
              </w:rPr>
            </w:pPr>
            <w:r>
              <w:rPr>
                <w:rFonts w:ascii="Arial" w:cs="Arial" w:eastAsia="Arial" w:hAnsi="Arial"/>
                <w:sz w:val="18"/>
                <w:szCs w:val="18"/>
                <w:color w:val="auto"/>
              </w:rPr>
              <w:t>Vice President - Legal</w:t>
            </w:r>
          </w:p>
        </w:tc>
      </w:tr>
      <w:tr>
        <w:trPr>
          <w:trHeight w:val="482"/>
        </w:trPr>
        <w:tc>
          <w:tcPr>
            <w:tcW w:w="3600" w:type="dxa"/>
            <w:vAlign w:val="bottom"/>
            <w:gridSpan w:val="5"/>
          </w:tcPr>
          <w:p>
            <w:pPr>
              <w:spacing w:after="0"/>
              <w:rPr>
                <w:sz w:val="20"/>
                <w:szCs w:val="20"/>
                <w:color w:val="auto"/>
              </w:rPr>
            </w:pPr>
            <w:r>
              <w:rPr>
                <w:rFonts w:ascii="Arial" w:cs="Arial" w:eastAsia="Arial" w:hAnsi="Arial"/>
                <w:sz w:val="18"/>
                <w:szCs w:val="18"/>
                <w:b w:val="1"/>
                <w:bCs w:val="1"/>
                <w:color w:val="auto"/>
              </w:rPr>
              <w:t>PULITZER NEWSPAPERS, INC.</w:t>
            </w:r>
          </w:p>
        </w:tc>
        <w:tc>
          <w:tcPr>
            <w:tcW w:w="3500" w:type="dxa"/>
            <w:vAlign w:val="bottom"/>
          </w:tcPr>
          <w:p>
            <w:pPr>
              <w:spacing w:after="0"/>
              <w:rPr>
                <w:sz w:val="24"/>
                <w:szCs w:val="24"/>
                <w:color w:val="auto"/>
              </w:rPr>
            </w:pPr>
          </w:p>
        </w:tc>
      </w:tr>
      <w:tr>
        <w:trPr>
          <w:trHeight w:val="272"/>
        </w:trPr>
        <w:tc>
          <w:tcPr>
            <w:tcW w:w="266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Kevin D. Mowbray</w:t>
            </w:r>
          </w:p>
        </w:tc>
        <w:tc>
          <w:tcPr>
            <w:tcW w:w="940" w:type="dxa"/>
            <w:vAlign w:val="bottom"/>
            <w:gridSpan w:val="2"/>
          </w:tcPr>
          <w:p>
            <w:pPr>
              <w:spacing w:after="0"/>
              <w:rPr>
                <w:sz w:val="23"/>
                <w:szCs w:val="23"/>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President and Director</w:t>
            </w:r>
          </w:p>
        </w:tc>
      </w:tr>
      <w:tr>
        <w:trPr>
          <w:trHeight w:val="230"/>
        </w:trPr>
        <w:tc>
          <w:tcPr>
            <w:tcW w:w="3600" w:type="dxa"/>
            <w:vAlign w:val="bottom"/>
            <w:gridSpan w:val="5"/>
          </w:tcPr>
          <w:p>
            <w:pPr>
              <w:ind w:left="20"/>
              <w:spacing w:after="0"/>
              <w:rPr>
                <w:sz w:val="20"/>
                <w:szCs w:val="20"/>
                <w:color w:val="auto"/>
              </w:rPr>
            </w:pPr>
            <w:r>
              <w:rPr>
                <w:rFonts w:ascii="Arial" w:cs="Arial" w:eastAsia="Arial" w:hAnsi="Arial"/>
                <w:sz w:val="18"/>
                <w:szCs w:val="18"/>
                <w:color w:val="auto"/>
              </w:rPr>
              <w:t>Timothy R. Millage</w:t>
            </w:r>
          </w:p>
        </w:tc>
        <w:tc>
          <w:tcPr>
            <w:tcW w:w="3500" w:type="dxa"/>
            <w:vAlign w:val="bottom"/>
          </w:tcPr>
          <w:p>
            <w:pPr>
              <w:spacing w:after="0"/>
              <w:rPr>
                <w:sz w:val="20"/>
                <w:szCs w:val="20"/>
                <w:color w:val="auto"/>
              </w:rPr>
            </w:pPr>
            <w:r>
              <w:rPr>
                <w:rFonts w:ascii="Arial" w:cs="Arial" w:eastAsia="Arial" w:hAnsi="Arial"/>
                <w:sz w:val="18"/>
                <w:szCs w:val="18"/>
                <w:color w:val="auto"/>
              </w:rPr>
              <w:t>Vice President, Treasurer and Director</w:t>
            </w:r>
          </w:p>
        </w:tc>
      </w:tr>
      <w:tr>
        <w:trPr>
          <w:trHeight w:val="230"/>
        </w:trPr>
        <w:tc>
          <w:tcPr>
            <w:tcW w:w="3600" w:type="dxa"/>
            <w:vAlign w:val="bottom"/>
            <w:gridSpan w:val="5"/>
          </w:tcPr>
          <w:p>
            <w:pPr>
              <w:ind w:left="20"/>
              <w:spacing w:after="0"/>
              <w:rPr>
                <w:sz w:val="20"/>
                <w:szCs w:val="20"/>
                <w:color w:val="auto"/>
              </w:rPr>
            </w:pPr>
            <w:r>
              <w:rPr>
                <w:rFonts w:ascii="Arial" w:cs="Arial" w:eastAsia="Arial" w:hAnsi="Arial"/>
                <w:sz w:val="18"/>
                <w:szCs w:val="18"/>
                <w:color w:val="auto"/>
              </w:rPr>
              <w:t>T.F. Olt III</w:t>
            </w:r>
          </w:p>
        </w:tc>
        <w:tc>
          <w:tcPr>
            <w:tcW w:w="3500" w:type="dxa"/>
            <w:vAlign w:val="bottom"/>
          </w:tcPr>
          <w:p>
            <w:pPr>
              <w:spacing w:after="0"/>
              <w:rPr>
                <w:sz w:val="20"/>
                <w:szCs w:val="20"/>
                <w:color w:val="auto"/>
              </w:rPr>
            </w:pPr>
            <w:r>
              <w:rPr>
                <w:rFonts w:ascii="Arial" w:cs="Arial" w:eastAsia="Arial" w:hAnsi="Arial"/>
                <w:sz w:val="18"/>
                <w:szCs w:val="18"/>
                <w:color w:val="auto"/>
              </w:rPr>
              <w:t>Secretary and Director</w:t>
            </w:r>
          </w:p>
        </w:tc>
      </w:tr>
      <w:tr>
        <w:trPr>
          <w:trHeight w:val="229"/>
        </w:trPr>
        <w:tc>
          <w:tcPr>
            <w:tcW w:w="3600" w:type="dxa"/>
            <w:vAlign w:val="bottom"/>
            <w:gridSpan w:val="5"/>
          </w:tcPr>
          <w:p>
            <w:pPr>
              <w:ind w:left="20"/>
              <w:spacing w:after="0"/>
              <w:rPr>
                <w:sz w:val="20"/>
                <w:szCs w:val="20"/>
                <w:color w:val="auto"/>
              </w:rPr>
            </w:pPr>
            <w:r>
              <w:rPr>
                <w:rFonts w:ascii="Arial" w:cs="Arial" w:eastAsia="Arial" w:hAnsi="Arial"/>
                <w:sz w:val="18"/>
                <w:szCs w:val="18"/>
                <w:color w:val="auto"/>
              </w:rPr>
              <w:t>Jared Marks</w:t>
            </w:r>
          </w:p>
        </w:tc>
        <w:tc>
          <w:tcPr>
            <w:tcW w:w="3500" w:type="dxa"/>
            <w:vAlign w:val="bottom"/>
          </w:tcPr>
          <w:p>
            <w:pPr>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0"/>
        </w:trPr>
        <w:tc>
          <w:tcPr>
            <w:tcW w:w="3600" w:type="dxa"/>
            <w:vAlign w:val="bottom"/>
            <w:gridSpan w:val="5"/>
          </w:tcPr>
          <w:p>
            <w:pPr>
              <w:ind w:left="20"/>
              <w:spacing w:after="0"/>
              <w:rPr>
                <w:sz w:val="20"/>
                <w:szCs w:val="20"/>
                <w:color w:val="auto"/>
              </w:rPr>
            </w:pPr>
            <w:r>
              <w:rPr>
                <w:rFonts w:ascii="Arial" w:cs="Arial" w:eastAsia="Arial" w:hAnsi="Arial"/>
                <w:sz w:val="18"/>
                <w:szCs w:val="18"/>
                <w:color w:val="auto"/>
              </w:rPr>
              <w:t>Jena Quinnell</w:t>
            </w:r>
          </w:p>
        </w:tc>
        <w:tc>
          <w:tcPr>
            <w:tcW w:w="3500" w:type="dxa"/>
            <w:vAlign w:val="bottom"/>
          </w:tcPr>
          <w:p>
            <w:pPr>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9"/>
        </w:trPr>
        <w:tc>
          <w:tcPr>
            <w:tcW w:w="3600" w:type="dxa"/>
            <w:vAlign w:val="bottom"/>
            <w:gridSpan w:val="5"/>
          </w:tcPr>
          <w:p>
            <w:pPr>
              <w:ind w:left="20"/>
              <w:spacing w:after="0"/>
              <w:rPr>
                <w:sz w:val="20"/>
                <w:szCs w:val="20"/>
                <w:color w:val="auto"/>
              </w:rPr>
            </w:pPr>
            <w:r>
              <w:rPr>
                <w:rFonts w:ascii="Arial" w:cs="Arial" w:eastAsia="Arial" w:hAnsi="Arial"/>
                <w:sz w:val="18"/>
                <w:szCs w:val="18"/>
                <w:color w:val="auto"/>
              </w:rPr>
              <w:t>Astrid Garcia</w:t>
            </w:r>
          </w:p>
        </w:tc>
        <w:tc>
          <w:tcPr>
            <w:tcW w:w="3500" w:type="dxa"/>
            <w:vAlign w:val="bottom"/>
          </w:tcPr>
          <w:p>
            <w:pPr>
              <w:spacing w:after="0"/>
              <w:rPr>
                <w:sz w:val="20"/>
                <w:szCs w:val="20"/>
                <w:color w:val="auto"/>
              </w:rPr>
            </w:pPr>
            <w:r>
              <w:rPr>
                <w:rFonts w:ascii="Arial" w:cs="Arial" w:eastAsia="Arial" w:hAnsi="Arial"/>
                <w:sz w:val="18"/>
                <w:szCs w:val="18"/>
                <w:color w:val="auto"/>
              </w:rPr>
              <w:t>Vice President - Legal</w:t>
            </w:r>
          </w:p>
        </w:tc>
      </w:tr>
    </w:tbl>
    <w:p>
      <w:pPr>
        <w:sectPr>
          <w:pgSz w:w="11900" w:h="16838" w:orient="portrait"/>
          <w:cols w:equalWidth="0" w:num="1">
            <w:col w:w="10139"/>
          </w:cols>
          <w:pgMar w:left="320" w:top="1391" w:right="1440" w:bottom="1440" w:gutter="0" w:footer="0" w:header="0"/>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9"/>
              </w:rPr>
              <w:t>PULITZER TECHNOLOGIES, INC.</w:t>
            </w: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180" w:type="dxa"/>
            <w:vAlign w:val="bottom"/>
          </w:tcPr>
          <w:p>
            <w:pPr>
              <w:spacing w:after="0"/>
              <w:rPr>
                <w:sz w:val="17"/>
                <w:szCs w:val="17"/>
                <w:color w:val="auto"/>
              </w:rPr>
            </w:pPr>
          </w:p>
        </w:tc>
      </w:tr>
      <w:tr>
        <w:trPr>
          <w:trHeight w:val="272"/>
        </w:trPr>
        <w:tc>
          <w:tcPr>
            <w:tcW w:w="3220" w:type="dxa"/>
            <w:vAlign w:val="bottom"/>
            <w:gridSpan w:val="5"/>
          </w:tcPr>
          <w:p>
            <w:pPr>
              <w:ind w:left="20"/>
              <w:spacing w:after="0"/>
              <w:rPr>
                <w:sz w:val="20"/>
                <w:szCs w:val="20"/>
                <w:color w:val="auto"/>
              </w:rPr>
            </w:pPr>
            <w:r>
              <w:rPr>
                <w:rFonts w:ascii="Arial" w:cs="Arial" w:eastAsia="Arial" w:hAnsi="Arial"/>
                <w:sz w:val="18"/>
                <w:szCs w:val="18"/>
                <w:color w:val="auto"/>
              </w:rPr>
              <w:t>Kevin D. Mowbray</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rPr>
              <w:t>President and Director</w:t>
            </w:r>
          </w:p>
        </w:tc>
      </w:tr>
      <w:tr>
        <w:trPr>
          <w:trHeight w:val="229"/>
        </w:trPr>
        <w:tc>
          <w:tcPr>
            <w:tcW w:w="3220" w:type="dxa"/>
            <w:vAlign w:val="bottom"/>
            <w:gridSpan w:val="5"/>
          </w:tcPr>
          <w:p>
            <w:pPr>
              <w:ind w:left="20"/>
              <w:spacing w:after="0"/>
              <w:rPr>
                <w:sz w:val="20"/>
                <w:szCs w:val="20"/>
                <w:color w:val="auto"/>
              </w:rPr>
            </w:pPr>
            <w:r>
              <w:rPr>
                <w:rFonts w:ascii="Arial" w:cs="Arial" w:eastAsia="Arial" w:hAnsi="Arial"/>
                <w:sz w:val="18"/>
                <w:szCs w:val="18"/>
                <w:color w:val="auto"/>
              </w:rPr>
              <w:t>Timothy R. Millage</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rPr>
              <w:t>Vice President, Treasurer and Director</w:t>
            </w:r>
          </w:p>
        </w:tc>
      </w:tr>
      <w:tr>
        <w:trPr>
          <w:trHeight w:val="229"/>
        </w:trPr>
        <w:tc>
          <w:tcPr>
            <w:tcW w:w="3220" w:type="dxa"/>
            <w:vAlign w:val="bottom"/>
            <w:gridSpan w:val="5"/>
          </w:tcPr>
          <w:p>
            <w:pPr>
              <w:ind w:left="20"/>
              <w:spacing w:after="0"/>
              <w:rPr>
                <w:sz w:val="20"/>
                <w:szCs w:val="20"/>
                <w:color w:val="auto"/>
              </w:rPr>
            </w:pPr>
            <w:r>
              <w:rPr>
                <w:rFonts w:ascii="Arial" w:cs="Arial" w:eastAsia="Arial" w:hAnsi="Arial"/>
                <w:sz w:val="18"/>
                <w:szCs w:val="18"/>
                <w:color w:val="auto"/>
              </w:rPr>
              <w:t>T.F. Olt III</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rPr>
              <w:t>Secretary and Director</w:t>
            </w:r>
          </w:p>
        </w:tc>
      </w:tr>
      <w:tr>
        <w:trPr>
          <w:trHeight w:val="230"/>
        </w:trPr>
        <w:tc>
          <w:tcPr>
            <w:tcW w:w="3220" w:type="dxa"/>
            <w:vAlign w:val="bottom"/>
            <w:gridSpan w:val="5"/>
          </w:tcPr>
          <w:p>
            <w:pPr>
              <w:ind w:left="20"/>
              <w:spacing w:after="0"/>
              <w:rPr>
                <w:sz w:val="20"/>
                <w:szCs w:val="20"/>
                <w:color w:val="auto"/>
              </w:rPr>
            </w:pPr>
            <w:r>
              <w:rPr>
                <w:rFonts w:ascii="Arial" w:cs="Arial" w:eastAsia="Arial" w:hAnsi="Arial"/>
                <w:sz w:val="18"/>
                <w:szCs w:val="18"/>
                <w:color w:val="auto"/>
              </w:rPr>
              <w:t>Jared Marks</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w w:val="99"/>
              </w:rPr>
              <w:t>Assistant Secretary and Assistant Treasurer</w:t>
            </w:r>
          </w:p>
        </w:tc>
      </w:tr>
      <w:tr>
        <w:trPr>
          <w:trHeight w:val="229"/>
        </w:trPr>
        <w:tc>
          <w:tcPr>
            <w:tcW w:w="3220" w:type="dxa"/>
            <w:vAlign w:val="bottom"/>
            <w:gridSpan w:val="5"/>
          </w:tcPr>
          <w:p>
            <w:pPr>
              <w:ind w:left="20"/>
              <w:spacing w:after="0"/>
              <w:rPr>
                <w:sz w:val="20"/>
                <w:szCs w:val="20"/>
                <w:color w:val="auto"/>
              </w:rPr>
            </w:pPr>
            <w:r>
              <w:rPr>
                <w:rFonts w:ascii="Arial" w:cs="Arial" w:eastAsia="Arial" w:hAnsi="Arial"/>
                <w:sz w:val="18"/>
                <w:szCs w:val="18"/>
                <w:color w:val="auto"/>
              </w:rPr>
              <w:t>Jena Quinnell</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9"/>
        </w:trPr>
        <w:tc>
          <w:tcPr>
            <w:tcW w:w="3220" w:type="dxa"/>
            <w:vAlign w:val="bottom"/>
            <w:gridSpan w:val="5"/>
          </w:tcPr>
          <w:p>
            <w:pPr>
              <w:ind w:left="20"/>
              <w:spacing w:after="0"/>
              <w:rPr>
                <w:sz w:val="20"/>
                <w:szCs w:val="20"/>
                <w:color w:val="auto"/>
              </w:rPr>
            </w:pPr>
            <w:r>
              <w:rPr>
                <w:rFonts w:ascii="Arial" w:cs="Arial" w:eastAsia="Arial" w:hAnsi="Arial"/>
                <w:sz w:val="18"/>
                <w:szCs w:val="18"/>
                <w:color w:val="auto"/>
              </w:rPr>
              <w:t>Astrid Garcia</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rPr>
              <w:t>Vice President - Legal</w:t>
            </w:r>
          </w:p>
        </w:tc>
      </w:tr>
      <w:tr>
        <w:trPr>
          <w:trHeight w:val="496"/>
        </w:trPr>
        <w:tc>
          <w:tcPr>
            <w:tcW w:w="2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SMT LIQUIDATION, INC.</w:t>
            </w:r>
          </w:p>
        </w:tc>
        <w:tc>
          <w:tcPr>
            <w:tcW w:w="1160" w:type="dxa"/>
            <w:vAlign w:val="bottom"/>
            <w:gridSpan w:val="4"/>
          </w:tcPr>
          <w:p>
            <w:pPr>
              <w:spacing w:after="0"/>
              <w:rPr>
                <w:sz w:val="24"/>
                <w:szCs w:val="24"/>
                <w:color w:val="auto"/>
              </w:rPr>
            </w:pPr>
          </w:p>
        </w:tc>
        <w:tc>
          <w:tcPr>
            <w:tcW w:w="70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72"/>
        </w:trPr>
        <w:tc>
          <w:tcPr>
            <w:tcW w:w="3220" w:type="dxa"/>
            <w:vAlign w:val="bottom"/>
            <w:gridSpan w:val="5"/>
          </w:tcPr>
          <w:p>
            <w:pPr>
              <w:ind w:left="20"/>
              <w:spacing w:after="0"/>
              <w:rPr>
                <w:sz w:val="20"/>
                <w:szCs w:val="20"/>
                <w:color w:val="auto"/>
              </w:rPr>
            </w:pPr>
            <w:r>
              <w:rPr>
                <w:rFonts w:ascii="Arial" w:cs="Arial" w:eastAsia="Arial" w:hAnsi="Arial"/>
                <w:sz w:val="18"/>
                <w:szCs w:val="18"/>
                <w:color w:val="auto"/>
              </w:rPr>
              <w:t>Kevin D. Mowbray</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rPr>
              <w:t>President and Director</w:t>
            </w:r>
          </w:p>
        </w:tc>
      </w:tr>
      <w:tr>
        <w:trPr>
          <w:trHeight w:val="230"/>
        </w:trPr>
        <w:tc>
          <w:tcPr>
            <w:tcW w:w="3220" w:type="dxa"/>
            <w:vAlign w:val="bottom"/>
            <w:gridSpan w:val="5"/>
          </w:tcPr>
          <w:p>
            <w:pPr>
              <w:ind w:left="20"/>
              <w:spacing w:after="0"/>
              <w:rPr>
                <w:sz w:val="20"/>
                <w:szCs w:val="20"/>
                <w:color w:val="auto"/>
              </w:rPr>
            </w:pPr>
            <w:r>
              <w:rPr>
                <w:rFonts w:ascii="Arial" w:cs="Arial" w:eastAsia="Arial" w:hAnsi="Arial"/>
                <w:sz w:val="18"/>
                <w:szCs w:val="18"/>
                <w:color w:val="auto"/>
              </w:rPr>
              <w:t>Timothy R. Millage</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rPr>
              <w:t>Vice President and Treasurer</w:t>
            </w:r>
          </w:p>
        </w:tc>
      </w:tr>
      <w:tr>
        <w:trPr>
          <w:trHeight w:val="229"/>
        </w:trPr>
        <w:tc>
          <w:tcPr>
            <w:tcW w:w="3220" w:type="dxa"/>
            <w:vAlign w:val="bottom"/>
            <w:gridSpan w:val="5"/>
          </w:tcPr>
          <w:p>
            <w:pPr>
              <w:ind w:left="20"/>
              <w:spacing w:after="0"/>
              <w:rPr>
                <w:sz w:val="20"/>
                <w:szCs w:val="20"/>
                <w:color w:val="auto"/>
              </w:rPr>
            </w:pPr>
            <w:r>
              <w:rPr>
                <w:rFonts w:ascii="Arial" w:cs="Arial" w:eastAsia="Arial" w:hAnsi="Arial"/>
                <w:sz w:val="18"/>
                <w:szCs w:val="18"/>
                <w:color w:val="auto"/>
              </w:rPr>
              <w:t>T.F. Olt III</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rPr>
              <w:t>Secretary and Director</w:t>
            </w:r>
          </w:p>
        </w:tc>
      </w:tr>
      <w:tr>
        <w:trPr>
          <w:trHeight w:val="229"/>
        </w:trPr>
        <w:tc>
          <w:tcPr>
            <w:tcW w:w="3220" w:type="dxa"/>
            <w:vAlign w:val="bottom"/>
            <w:gridSpan w:val="5"/>
          </w:tcPr>
          <w:p>
            <w:pPr>
              <w:ind w:left="20"/>
              <w:spacing w:after="0"/>
              <w:rPr>
                <w:sz w:val="20"/>
                <w:szCs w:val="20"/>
                <w:color w:val="auto"/>
              </w:rPr>
            </w:pPr>
            <w:r>
              <w:rPr>
                <w:rFonts w:ascii="Arial" w:cs="Arial" w:eastAsia="Arial" w:hAnsi="Arial"/>
                <w:sz w:val="18"/>
                <w:szCs w:val="18"/>
                <w:color w:val="auto"/>
              </w:rPr>
              <w:t>Jared Marks</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0"/>
        </w:trPr>
        <w:tc>
          <w:tcPr>
            <w:tcW w:w="3220" w:type="dxa"/>
            <w:vAlign w:val="bottom"/>
            <w:gridSpan w:val="5"/>
          </w:tcPr>
          <w:p>
            <w:pPr>
              <w:ind w:left="20"/>
              <w:spacing w:after="0"/>
              <w:rPr>
                <w:sz w:val="20"/>
                <w:szCs w:val="20"/>
                <w:color w:val="auto"/>
              </w:rPr>
            </w:pPr>
            <w:r>
              <w:rPr>
                <w:rFonts w:ascii="Arial" w:cs="Arial" w:eastAsia="Arial" w:hAnsi="Arial"/>
                <w:sz w:val="18"/>
                <w:szCs w:val="18"/>
                <w:color w:val="auto"/>
              </w:rPr>
              <w:t>Jena Quinnell</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9"/>
        </w:trPr>
        <w:tc>
          <w:tcPr>
            <w:tcW w:w="3220" w:type="dxa"/>
            <w:vAlign w:val="bottom"/>
            <w:gridSpan w:val="5"/>
          </w:tcPr>
          <w:p>
            <w:pPr>
              <w:ind w:left="20"/>
              <w:spacing w:after="0"/>
              <w:rPr>
                <w:sz w:val="20"/>
                <w:szCs w:val="20"/>
                <w:color w:val="auto"/>
              </w:rPr>
            </w:pPr>
            <w:r>
              <w:rPr>
                <w:rFonts w:ascii="Arial" w:cs="Arial" w:eastAsia="Arial" w:hAnsi="Arial"/>
                <w:sz w:val="18"/>
                <w:szCs w:val="18"/>
                <w:color w:val="auto"/>
              </w:rPr>
              <w:t>Astrid Garcia</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rPr>
              <w:t>Vice President - Legal</w:t>
            </w:r>
          </w:p>
        </w:tc>
      </w:tr>
      <w:tr>
        <w:trPr>
          <w:trHeight w:val="482"/>
        </w:trPr>
        <w:tc>
          <w:tcPr>
            <w:tcW w:w="392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99"/>
              </w:rPr>
              <w:t>SOUTHWESTERN OREGON PUBLISHING CO.</w:t>
            </w:r>
          </w:p>
        </w:tc>
        <w:tc>
          <w:tcPr>
            <w:tcW w:w="3180" w:type="dxa"/>
            <w:vAlign w:val="bottom"/>
          </w:tcPr>
          <w:p>
            <w:pPr>
              <w:spacing w:after="0"/>
              <w:rPr>
                <w:sz w:val="24"/>
                <w:szCs w:val="24"/>
                <w:color w:val="auto"/>
              </w:rPr>
            </w:pPr>
          </w:p>
        </w:tc>
      </w:tr>
      <w:tr>
        <w:trPr>
          <w:trHeight w:val="272"/>
        </w:trPr>
        <w:tc>
          <w:tcPr>
            <w:tcW w:w="3220" w:type="dxa"/>
            <w:vAlign w:val="bottom"/>
            <w:gridSpan w:val="5"/>
          </w:tcPr>
          <w:p>
            <w:pPr>
              <w:ind w:left="20"/>
              <w:spacing w:after="0"/>
              <w:rPr>
                <w:sz w:val="20"/>
                <w:szCs w:val="20"/>
                <w:color w:val="auto"/>
              </w:rPr>
            </w:pPr>
            <w:r>
              <w:rPr>
                <w:rFonts w:ascii="Arial" w:cs="Arial" w:eastAsia="Arial" w:hAnsi="Arial"/>
                <w:sz w:val="18"/>
                <w:szCs w:val="18"/>
                <w:color w:val="auto"/>
              </w:rPr>
              <w:t>Kevin D. Mowbray</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rPr>
              <w:t>President and Director</w:t>
            </w:r>
          </w:p>
        </w:tc>
      </w:tr>
      <w:tr>
        <w:trPr>
          <w:trHeight w:val="229"/>
        </w:trPr>
        <w:tc>
          <w:tcPr>
            <w:tcW w:w="3220" w:type="dxa"/>
            <w:vAlign w:val="bottom"/>
            <w:gridSpan w:val="5"/>
          </w:tcPr>
          <w:p>
            <w:pPr>
              <w:ind w:left="20"/>
              <w:spacing w:after="0"/>
              <w:rPr>
                <w:sz w:val="20"/>
                <w:szCs w:val="20"/>
                <w:color w:val="auto"/>
              </w:rPr>
            </w:pPr>
            <w:r>
              <w:rPr>
                <w:rFonts w:ascii="Arial" w:cs="Arial" w:eastAsia="Arial" w:hAnsi="Arial"/>
                <w:sz w:val="18"/>
                <w:szCs w:val="18"/>
                <w:color w:val="auto"/>
              </w:rPr>
              <w:t>Timothy R. Millage</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rPr>
              <w:t>Vice President, Treasurer and Director</w:t>
            </w:r>
          </w:p>
        </w:tc>
      </w:tr>
      <w:tr>
        <w:trPr>
          <w:trHeight w:val="229"/>
        </w:trPr>
        <w:tc>
          <w:tcPr>
            <w:tcW w:w="3220" w:type="dxa"/>
            <w:vAlign w:val="bottom"/>
            <w:gridSpan w:val="5"/>
          </w:tcPr>
          <w:p>
            <w:pPr>
              <w:ind w:left="20"/>
              <w:spacing w:after="0"/>
              <w:rPr>
                <w:sz w:val="20"/>
                <w:szCs w:val="20"/>
                <w:color w:val="auto"/>
              </w:rPr>
            </w:pPr>
            <w:r>
              <w:rPr>
                <w:rFonts w:ascii="Arial" w:cs="Arial" w:eastAsia="Arial" w:hAnsi="Arial"/>
                <w:sz w:val="18"/>
                <w:szCs w:val="18"/>
                <w:color w:val="auto"/>
              </w:rPr>
              <w:t>T.F. Olt III</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rPr>
              <w:t>Secretary and Director</w:t>
            </w:r>
          </w:p>
        </w:tc>
      </w:tr>
      <w:tr>
        <w:trPr>
          <w:trHeight w:val="230"/>
        </w:trPr>
        <w:tc>
          <w:tcPr>
            <w:tcW w:w="3220" w:type="dxa"/>
            <w:vAlign w:val="bottom"/>
            <w:gridSpan w:val="5"/>
          </w:tcPr>
          <w:p>
            <w:pPr>
              <w:ind w:left="20"/>
              <w:spacing w:after="0"/>
              <w:rPr>
                <w:sz w:val="20"/>
                <w:szCs w:val="20"/>
                <w:color w:val="auto"/>
              </w:rPr>
            </w:pPr>
            <w:r>
              <w:rPr>
                <w:rFonts w:ascii="Arial" w:cs="Arial" w:eastAsia="Arial" w:hAnsi="Arial"/>
                <w:sz w:val="18"/>
                <w:szCs w:val="18"/>
                <w:color w:val="auto"/>
              </w:rPr>
              <w:t>Jared Marks</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0"/>
        </w:trPr>
        <w:tc>
          <w:tcPr>
            <w:tcW w:w="3220" w:type="dxa"/>
            <w:vAlign w:val="bottom"/>
            <w:gridSpan w:val="5"/>
          </w:tcPr>
          <w:p>
            <w:pPr>
              <w:ind w:left="20"/>
              <w:spacing w:after="0"/>
              <w:rPr>
                <w:sz w:val="20"/>
                <w:szCs w:val="20"/>
                <w:color w:val="auto"/>
              </w:rPr>
            </w:pPr>
            <w:r>
              <w:rPr>
                <w:rFonts w:ascii="Arial" w:cs="Arial" w:eastAsia="Arial" w:hAnsi="Arial"/>
                <w:sz w:val="18"/>
                <w:szCs w:val="18"/>
                <w:color w:val="auto"/>
              </w:rPr>
              <w:t>Jena Quinnell</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9"/>
        </w:trPr>
        <w:tc>
          <w:tcPr>
            <w:tcW w:w="3220" w:type="dxa"/>
            <w:vAlign w:val="bottom"/>
            <w:gridSpan w:val="5"/>
          </w:tcPr>
          <w:p>
            <w:pPr>
              <w:ind w:left="20"/>
              <w:spacing w:after="0"/>
              <w:rPr>
                <w:sz w:val="20"/>
                <w:szCs w:val="20"/>
                <w:color w:val="auto"/>
              </w:rPr>
            </w:pPr>
            <w:r>
              <w:rPr>
                <w:rFonts w:ascii="Arial" w:cs="Arial" w:eastAsia="Arial" w:hAnsi="Arial"/>
                <w:sz w:val="18"/>
                <w:szCs w:val="18"/>
                <w:color w:val="auto"/>
              </w:rPr>
              <w:t>Astrid Garcia</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rPr>
              <w:t>Vice President - Legal</w:t>
            </w:r>
          </w:p>
        </w:tc>
      </w:tr>
      <w:tr>
        <w:trPr>
          <w:trHeight w:val="509"/>
        </w:trPr>
        <w:tc>
          <w:tcPr>
            <w:tcW w:w="3220" w:type="dxa"/>
            <w:vAlign w:val="bottom"/>
            <w:gridSpan w:val="5"/>
          </w:tcPr>
          <w:p>
            <w:pPr>
              <w:spacing w:after="0"/>
              <w:rPr>
                <w:sz w:val="20"/>
                <w:szCs w:val="20"/>
                <w:color w:val="auto"/>
              </w:rPr>
            </w:pPr>
            <w:r>
              <w:rPr>
                <w:rFonts w:ascii="Arial" w:cs="Arial" w:eastAsia="Arial" w:hAnsi="Arial"/>
                <w:sz w:val="18"/>
                <w:szCs w:val="18"/>
                <w:b w:val="1"/>
                <w:bCs w:val="1"/>
                <w:color w:val="auto"/>
              </w:rPr>
              <w:t>STAR PUBLISHING COMPANY</w:t>
            </w:r>
          </w:p>
        </w:tc>
        <w:tc>
          <w:tcPr>
            <w:tcW w:w="70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58"/>
        </w:trPr>
        <w:tc>
          <w:tcPr>
            <w:tcW w:w="260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Kevin D. Mowbray</w:t>
            </w:r>
          </w:p>
        </w:tc>
        <w:tc>
          <w:tcPr>
            <w:tcW w:w="620" w:type="dxa"/>
            <w:vAlign w:val="bottom"/>
            <w:gridSpan w:val="2"/>
          </w:tcPr>
          <w:p>
            <w:pPr>
              <w:spacing w:after="0"/>
              <w:rPr>
                <w:sz w:val="22"/>
                <w:szCs w:val="22"/>
                <w:color w:val="auto"/>
              </w:rPr>
            </w:pP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rPr>
              <w:t>President and Director</w:t>
            </w:r>
          </w:p>
        </w:tc>
      </w:tr>
      <w:tr>
        <w:trPr>
          <w:trHeight w:val="229"/>
        </w:trPr>
        <w:tc>
          <w:tcPr>
            <w:tcW w:w="3220" w:type="dxa"/>
            <w:vAlign w:val="bottom"/>
            <w:gridSpan w:val="5"/>
          </w:tcPr>
          <w:p>
            <w:pPr>
              <w:ind w:left="20"/>
              <w:spacing w:after="0"/>
              <w:rPr>
                <w:sz w:val="20"/>
                <w:szCs w:val="20"/>
                <w:color w:val="auto"/>
              </w:rPr>
            </w:pPr>
            <w:r>
              <w:rPr>
                <w:rFonts w:ascii="Arial" w:cs="Arial" w:eastAsia="Arial" w:hAnsi="Arial"/>
                <w:sz w:val="18"/>
                <w:szCs w:val="18"/>
                <w:color w:val="auto"/>
              </w:rPr>
              <w:t>Timothy R. Millage</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rPr>
              <w:t>Vice President and Treasurer</w:t>
            </w:r>
          </w:p>
        </w:tc>
      </w:tr>
      <w:tr>
        <w:trPr>
          <w:trHeight w:val="230"/>
        </w:trPr>
        <w:tc>
          <w:tcPr>
            <w:tcW w:w="3220" w:type="dxa"/>
            <w:vAlign w:val="bottom"/>
            <w:gridSpan w:val="5"/>
          </w:tcPr>
          <w:p>
            <w:pPr>
              <w:ind w:left="20"/>
              <w:spacing w:after="0"/>
              <w:rPr>
                <w:sz w:val="20"/>
                <w:szCs w:val="20"/>
                <w:color w:val="auto"/>
              </w:rPr>
            </w:pPr>
            <w:r>
              <w:rPr>
                <w:rFonts w:ascii="Arial" w:cs="Arial" w:eastAsia="Arial" w:hAnsi="Arial"/>
                <w:sz w:val="18"/>
                <w:szCs w:val="18"/>
                <w:color w:val="auto"/>
              </w:rPr>
              <w:t>T.F. Olt III</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rPr>
              <w:t>Secretary and Director</w:t>
            </w:r>
          </w:p>
        </w:tc>
      </w:tr>
      <w:tr>
        <w:trPr>
          <w:trHeight w:val="230"/>
        </w:trPr>
        <w:tc>
          <w:tcPr>
            <w:tcW w:w="3220" w:type="dxa"/>
            <w:vAlign w:val="bottom"/>
            <w:gridSpan w:val="5"/>
          </w:tcPr>
          <w:p>
            <w:pPr>
              <w:ind w:left="20"/>
              <w:spacing w:after="0"/>
              <w:rPr>
                <w:sz w:val="20"/>
                <w:szCs w:val="20"/>
                <w:color w:val="auto"/>
              </w:rPr>
            </w:pPr>
            <w:r>
              <w:rPr>
                <w:rFonts w:ascii="Arial" w:cs="Arial" w:eastAsia="Arial" w:hAnsi="Arial"/>
                <w:sz w:val="18"/>
                <w:szCs w:val="18"/>
                <w:color w:val="auto"/>
              </w:rPr>
              <w:t>Jared Marks</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0"/>
        </w:trPr>
        <w:tc>
          <w:tcPr>
            <w:tcW w:w="3220" w:type="dxa"/>
            <w:vAlign w:val="bottom"/>
            <w:gridSpan w:val="5"/>
          </w:tcPr>
          <w:p>
            <w:pPr>
              <w:ind w:left="20"/>
              <w:spacing w:after="0"/>
              <w:rPr>
                <w:sz w:val="20"/>
                <w:szCs w:val="20"/>
                <w:color w:val="auto"/>
              </w:rPr>
            </w:pPr>
            <w:r>
              <w:rPr>
                <w:rFonts w:ascii="Arial" w:cs="Arial" w:eastAsia="Arial" w:hAnsi="Arial"/>
                <w:sz w:val="18"/>
                <w:szCs w:val="18"/>
                <w:color w:val="auto"/>
              </w:rPr>
              <w:t>Jena Quinnell</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9"/>
        </w:trPr>
        <w:tc>
          <w:tcPr>
            <w:tcW w:w="3220" w:type="dxa"/>
            <w:vAlign w:val="bottom"/>
            <w:gridSpan w:val="5"/>
          </w:tcPr>
          <w:p>
            <w:pPr>
              <w:ind w:left="20"/>
              <w:spacing w:after="0"/>
              <w:rPr>
                <w:sz w:val="20"/>
                <w:szCs w:val="20"/>
                <w:color w:val="auto"/>
              </w:rPr>
            </w:pPr>
            <w:r>
              <w:rPr>
                <w:rFonts w:ascii="Arial" w:cs="Arial" w:eastAsia="Arial" w:hAnsi="Arial"/>
                <w:sz w:val="18"/>
                <w:szCs w:val="18"/>
                <w:color w:val="auto"/>
              </w:rPr>
              <w:t>Astrid Garcia</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rPr>
              <w:t>Vice President - Legal</w:t>
            </w:r>
          </w:p>
        </w:tc>
      </w:tr>
      <w:tr>
        <w:trPr>
          <w:trHeight w:val="496"/>
        </w:trPr>
        <w:tc>
          <w:tcPr>
            <w:tcW w:w="2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THE BUFFALO NEWS, INC.</w:t>
            </w:r>
          </w:p>
        </w:tc>
        <w:tc>
          <w:tcPr>
            <w:tcW w:w="900" w:type="dxa"/>
            <w:vAlign w:val="bottom"/>
            <w:gridSpan w:val="3"/>
          </w:tcPr>
          <w:p>
            <w:pPr>
              <w:spacing w:after="0"/>
              <w:rPr>
                <w:sz w:val="24"/>
                <w:szCs w:val="24"/>
                <w:color w:val="auto"/>
              </w:rPr>
            </w:pPr>
          </w:p>
        </w:tc>
        <w:tc>
          <w:tcPr>
            <w:tcW w:w="70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72"/>
        </w:trPr>
        <w:tc>
          <w:tcPr>
            <w:tcW w:w="3220" w:type="dxa"/>
            <w:vAlign w:val="bottom"/>
            <w:gridSpan w:val="5"/>
          </w:tcPr>
          <w:p>
            <w:pPr>
              <w:ind w:left="20"/>
              <w:spacing w:after="0"/>
              <w:rPr>
                <w:sz w:val="20"/>
                <w:szCs w:val="20"/>
                <w:color w:val="auto"/>
              </w:rPr>
            </w:pPr>
            <w:r>
              <w:rPr>
                <w:rFonts w:ascii="Arial" w:cs="Arial" w:eastAsia="Arial" w:hAnsi="Arial"/>
                <w:sz w:val="18"/>
                <w:szCs w:val="18"/>
                <w:color w:val="auto"/>
              </w:rPr>
              <w:t>Kevin D. Mowbray</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rPr>
              <w:t>President and Director</w:t>
            </w:r>
          </w:p>
        </w:tc>
      </w:tr>
      <w:tr>
        <w:trPr>
          <w:trHeight w:val="230"/>
        </w:trPr>
        <w:tc>
          <w:tcPr>
            <w:tcW w:w="3220" w:type="dxa"/>
            <w:vAlign w:val="bottom"/>
            <w:gridSpan w:val="5"/>
          </w:tcPr>
          <w:p>
            <w:pPr>
              <w:ind w:left="20"/>
              <w:spacing w:after="0"/>
              <w:rPr>
                <w:sz w:val="20"/>
                <w:szCs w:val="20"/>
                <w:color w:val="auto"/>
              </w:rPr>
            </w:pPr>
            <w:r>
              <w:rPr>
                <w:rFonts w:ascii="Arial" w:cs="Arial" w:eastAsia="Arial" w:hAnsi="Arial"/>
                <w:sz w:val="18"/>
                <w:szCs w:val="18"/>
                <w:color w:val="auto"/>
              </w:rPr>
              <w:t>Timothy R. Millage</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rPr>
              <w:t>Vice President and Treasurer</w:t>
            </w:r>
          </w:p>
        </w:tc>
      </w:tr>
      <w:tr>
        <w:trPr>
          <w:trHeight w:val="229"/>
        </w:trPr>
        <w:tc>
          <w:tcPr>
            <w:tcW w:w="3220" w:type="dxa"/>
            <w:vAlign w:val="bottom"/>
            <w:gridSpan w:val="5"/>
          </w:tcPr>
          <w:p>
            <w:pPr>
              <w:ind w:left="20"/>
              <w:spacing w:after="0"/>
              <w:rPr>
                <w:sz w:val="20"/>
                <w:szCs w:val="20"/>
                <w:color w:val="auto"/>
              </w:rPr>
            </w:pPr>
            <w:r>
              <w:rPr>
                <w:rFonts w:ascii="Arial" w:cs="Arial" w:eastAsia="Arial" w:hAnsi="Arial"/>
                <w:sz w:val="18"/>
                <w:szCs w:val="18"/>
                <w:color w:val="auto"/>
              </w:rPr>
              <w:t>Astrid Garcia</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rPr>
              <w:t>Vice President - Legal</w:t>
            </w:r>
          </w:p>
        </w:tc>
      </w:tr>
      <w:tr>
        <w:trPr>
          <w:trHeight w:val="230"/>
        </w:trPr>
        <w:tc>
          <w:tcPr>
            <w:tcW w:w="3220" w:type="dxa"/>
            <w:vAlign w:val="bottom"/>
            <w:gridSpan w:val="5"/>
          </w:tcPr>
          <w:p>
            <w:pPr>
              <w:ind w:left="20"/>
              <w:spacing w:after="0"/>
              <w:rPr>
                <w:sz w:val="20"/>
                <w:szCs w:val="20"/>
                <w:color w:val="auto"/>
              </w:rPr>
            </w:pPr>
            <w:r>
              <w:rPr>
                <w:rFonts w:ascii="Arial" w:cs="Arial" w:eastAsia="Arial" w:hAnsi="Arial"/>
                <w:sz w:val="18"/>
                <w:szCs w:val="18"/>
                <w:color w:val="auto"/>
              </w:rPr>
              <w:t>T.F. Olt III</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rPr>
              <w:t>Secretary and Director</w:t>
            </w:r>
          </w:p>
        </w:tc>
      </w:tr>
      <w:tr>
        <w:trPr>
          <w:trHeight w:val="230"/>
        </w:trPr>
        <w:tc>
          <w:tcPr>
            <w:tcW w:w="3220" w:type="dxa"/>
            <w:vAlign w:val="bottom"/>
            <w:gridSpan w:val="5"/>
          </w:tcPr>
          <w:p>
            <w:pPr>
              <w:ind w:left="20"/>
              <w:spacing w:after="0"/>
              <w:rPr>
                <w:sz w:val="20"/>
                <w:szCs w:val="20"/>
                <w:color w:val="auto"/>
              </w:rPr>
            </w:pPr>
            <w:r>
              <w:rPr>
                <w:rFonts w:ascii="Arial" w:cs="Arial" w:eastAsia="Arial" w:hAnsi="Arial"/>
                <w:sz w:val="18"/>
                <w:szCs w:val="18"/>
                <w:color w:val="auto"/>
              </w:rPr>
              <w:t>Jared Marks</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0"/>
        </w:trPr>
        <w:tc>
          <w:tcPr>
            <w:tcW w:w="3220" w:type="dxa"/>
            <w:vAlign w:val="bottom"/>
            <w:gridSpan w:val="5"/>
          </w:tcPr>
          <w:p>
            <w:pPr>
              <w:ind w:left="20"/>
              <w:spacing w:after="0"/>
              <w:rPr>
                <w:sz w:val="20"/>
                <w:szCs w:val="20"/>
                <w:color w:val="auto"/>
              </w:rPr>
            </w:pPr>
            <w:r>
              <w:rPr>
                <w:rFonts w:ascii="Arial" w:cs="Arial" w:eastAsia="Arial" w:hAnsi="Arial"/>
                <w:sz w:val="18"/>
                <w:szCs w:val="18"/>
                <w:color w:val="auto"/>
              </w:rPr>
              <w:t>Josh Rinehults</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9"/>
        </w:trPr>
        <w:tc>
          <w:tcPr>
            <w:tcW w:w="3220" w:type="dxa"/>
            <w:vAlign w:val="bottom"/>
            <w:gridSpan w:val="5"/>
          </w:tcPr>
          <w:p>
            <w:pPr>
              <w:ind w:left="20"/>
              <w:spacing w:after="0"/>
              <w:rPr>
                <w:sz w:val="20"/>
                <w:szCs w:val="20"/>
                <w:color w:val="auto"/>
              </w:rPr>
            </w:pPr>
            <w:r>
              <w:rPr>
                <w:rFonts w:ascii="Arial" w:cs="Arial" w:eastAsia="Arial" w:hAnsi="Arial"/>
                <w:sz w:val="18"/>
                <w:szCs w:val="18"/>
                <w:color w:val="auto"/>
              </w:rPr>
              <w:t>Jena Quinnell</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w w:val="99"/>
              </w:rPr>
              <w:t>Assistant Secretary and Assistant Treasurer</w:t>
            </w:r>
          </w:p>
        </w:tc>
      </w:tr>
    </w:tbl>
    <w:p>
      <w:pPr>
        <w:sectPr>
          <w:pgSz w:w="11900" w:h="16838" w:orient="portrait"/>
          <w:cols w:equalWidth="0" w:num="1">
            <w:col w:w="10139"/>
          </w:cols>
          <w:pgMar w:left="320" w:top="1391" w:right="1440" w:bottom="1440" w:gutter="0" w:footer="0" w:header="0"/>
        </w:sectPr>
      </w:pPr>
    </w:p>
    <w:bookmarkStart w:id="81" w:name="page82"/>
    <w:bookmarkEnd w:id="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YNEZ CORPORATION</w:t>
            </w:r>
          </w:p>
        </w:tc>
        <w:tc>
          <w:tcPr>
            <w:tcW w:w="1020" w:type="dxa"/>
            <w:vAlign w:val="bottom"/>
            <w:gridSpan w:val="2"/>
          </w:tcPr>
          <w:p>
            <w:pPr>
              <w:spacing w:after="0"/>
              <w:rPr>
                <w:sz w:val="17"/>
                <w:szCs w:val="17"/>
                <w:color w:val="auto"/>
              </w:rPr>
            </w:pPr>
          </w:p>
        </w:tc>
        <w:tc>
          <w:tcPr>
            <w:tcW w:w="4200" w:type="dxa"/>
            <w:vAlign w:val="bottom"/>
          </w:tcPr>
          <w:p>
            <w:pPr>
              <w:spacing w:after="0"/>
              <w:rPr>
                <w:sz w:val="17"/>
                <w:szCs w:val="17"/>
                <w:color w:val="auto"/>
              </w:rPr>
            </w:pPr>
          </w:p>
        </w:tc>
      </w:tr>
      <w:tr>
        <w:trPr>
          <w:trHeight w:val="272"/>
        </w:trPr>
        <w:tc>
          <w:tcPr>
            <w:tcW w:w="2900" w:type="dxa"/>
            <w:vAlign w:val="bottom"/>
            <w:gridSpan w:val="3"/>
          </w:tcPr>
          <w:p>
            <w:pPr>
              <w:ind w:left="20"/>
              <w:spacing w:after="0"/>
              <w:rPr>
                <w:sz w:val="20"/>
                <w:szCs w:val="20"/>
                <w:color w:val="auto"/>
              </w:rPr>
            </w:pPr>
            <w:r>
              <w:rPr>
                <w:rFonts w:ascii="Arial" w:cs="Arial" w:eastAsia="Arial" w:hAnsi="Arial"/>
                <w:sz w:val="18"/>
                <w:szCs w:val="18"/>
                <w:color w:val="auto"/>
              </w:rPr>
              <w:t>Kevin D. Mowbray</w:t>
            </w:r>
          </w:p>
        </w:tc>
        <w:tc>
          <w:tcPr>
            <w:tcW w:w="4200" w:type="dxa"/>
            <w:vAlign w:val="bottom"/>
          </w:tcPr>
          <w:p>
            <w:pPr>
              <w:ind w:left="700"/>
              <w:spacing w:after="0"/>
              <w:rPr>
                <w:sz w:val="20"/>
                <w:szCs w:val="20"/>
                <w:color w:val="auto"/>
              </w:rPr>
            </w:pPr>
            <w:r>
              <w:rPr>
                <w:rFonts w:ascii="Arial" w:cs="Arial" w:eastAsia="Arial" w:hAnsi="Arial"/>
                <w:sz w:val="18"/>
                <w:szCs w:val="18"/>
                <w:color w:val="auto"/>
              </w:rPr>
              <w:t>President and Director</w:t>
            </w:r>
          </w:p>
        </w:tc>
      </w:tr>
      <w:tr>
        <w:trPr>
          <w:trHeight w:val="229"/>
        </w:trPr>
        <w:tc>
          <w:tcPr>
            <w:tcW w:w="2900" w:type="dxa"/>
            <w:vAlign w:val="bottom"/>
            <w:gridSpan w:val="3"/>
          </w:tcPr>
          <w:p>
            <w:pPr>
              <w:ind w:left="20"/>
              <w:spacing w:after="0"/>
              <w:rPr>
                <w:sz w:val="20"/>
                <w:szCs w:val="20"/>
                <w:color w:val="auto"/>
              </w:rPr>
            </w:pPr>
            <w:r>
              <w:rPr>
                <w:rFonts w:ascii="Arial" w:cs="Arial" w:eastAsia="Arial" w:hAnsi="Arial"/>
                <w:sz w:val="18"/>
                <w:szCs w:val="18"/>
                <w:color w:val="auto"/>
              </w:rPr>
              <w:t>Timothy R. Millage</w:t>
            </w:r>
          </w:p>
        </w:tc>
        <w:tc>
          <w:tcPr>
            <w:tcW w:w="4200" w:type="dxa"/>
            <w:vAlign w:val="bottom"/>
          </w:tcPr>
          <w:p>
            <w:pPr>
              <w:ind w:left="700"/>
              <w:spacing w:after="0"/>
              <w:rPr>
                <w:sz w:val="20"/>
                <w:szCs w:val="20"/>
                <w:color w:val="auto"/>
              </w:rPr>
            </w:pPr>
            <w:r>
              <w:rPr>
                <w:rFonts w:ascii="Arial" w:cs="Arial" w:eastAsia="Arial" w:hAnsi="Arial"/>
                <w:sz w:val="18"/>
                <w:szCs w:val="18"/>
                <w:color w:val="auto"/>
              </w:rPr>
              <w:t>Vice President, Treasurer, and Director</w:t>
            </w:r>
          </w:p>
        </w:tc>
      </w:tr>
      <w:tr>
        <w:trPr>
          <w:trHeight w:val="229"/>
        </w:trPr>
        <w:tc>
          <w:tcPr>
            <w:tcW w:w="2900" w:type="dxa"/>
            <w:vAlign w:val="bottom"/>
            <w:gridSpan w:val="3"/>
          </w:tcPr>
          <w:p>
            <w:pPr>
              <w:ind w:left="20"/>
              <w:spacing w:after="0"/>
              <w:rPr>
                <w:sz w:val="20"/>
                <w:szCs w:val="20"/>
                <w:color w:val="auto"/>
              </w:rPr>
            </w:pPr>
            <w:r>
              <w:rPr>
                <w:rFonts w:ascii="Arial" w:cs="Arial" w:eastAsia="Arial" w:hAnsi="Arial"/>
                <w:sz w:val="18"/>
                <w:szCs w:val="18"/>
                <w:color w:val="auto"/>
              </w:rPr>
              <w:t>T.F. Olt III</w:t>
            </w:r>
          </w:p>
        </w:tc>
        <w:tc>
          <w:tcPr>
            <w:tcW w:w="4200" w:type="dxa"/>
            <w:vAlign w:val="bottom"/>
          </w:tcPr>
          <w:p>
            <w:pPr>
              <w:ind w:left="700"/>
              <w:spacing w:after="0"/>
              <w:rPr>
                <w:sz w:val="20"/>
                <w:szCs w:val="20"/>
                <w:color w:val="auto"/>
              </w:rPr>
            </w:pPr>
            <w:r>
              <w:rPr>
                <w:rFonts w:ascii="Arial" w:cs="Arial" w:eastAsia="Arial" w:hAnsi="Arial"/>
                <w:sz w:val="18"/>
                <w:szCs w:val="18"/>
                <w:color w:val="auto"/>
              </w:rPr>
              <w:t>Secretary and Director</w:t>
            </w:r>
          </w:p>
        </w:tc>
      </w:tr>
      <w:tr>
        <w:trPr>
          <w:trHeight w:val="230"/>
        </w:trPr>
        <w:tc>
          <w:tcPr>
            <w:tcW w:w="2900" w:type="dxa"/>
            <w:vAlign w:val="bottom"/>
            <w:gridSpan w:val="3"/>
          </w:tcPr>
          <w:p>
            <w:pPr>
              <w:ind w:left="20"/>
              <w:spacing w:after="0"/>
              <w:rPr>
                <w:sz w:val="20"/>
                <w:szCs w:val="20"/>
                <w:color w:val="auto"/>
              </w:rPr>
            </w:pPr>
            <w:r>
              <w:rPr>
                <w:rFonts w:ascii="Arial" w:cs="Arial" w:eastAsia="Arial" w:hAnsi="Arial"/>
                <w:sz w:val="18"/>
                <w:szCs w:val="18"/>
                <w:color w:val="auto"/>
              </w:rPr>
              <w:t>Jared Marks</w:t>
            </w:r>
          </w:p>
        </w:tc>
        <w:tc>
          <w:tcPr>
            <w:tcW w:w="4200" w:type="dxa"/>
            <w:vAlign w:val="bottom"/>
          </w:tcPr>
          <w:p>
            <w:pPr>
              <w:ind w:left="700"/>
              <w:spacing w:after="0"/>
              <w:rPr>
                <w:sz w:val="20"/>
                <w:szCs w:val="20"/>
                <w:color w:val="auto"/>
              </w:rPr>
            </w:pPr>
            <w:r>
              <w:rPr>
                <w:rFonts w:ascii="Arial" w:cs="Arial" w:eastAsia="Arial" w:hAnsi="Arial"/>
                <w:sz w:val="18"/>
                <w:szCs w:val="18"/>
                <w:color w:val="auto"/>
                <w:w w:val="99"/>
              </w:rPr>
              <w:t>Assistant Secretary and Assistant Treasurer</w:t>
            </w:r>
          </w:p>
        </w:tc>
      </w:tr>
      <w:tr>
        <w:trPr>
          <w:trHeight w:val="229"/>
        </w:trPr>
        <w:tc>
          <w:tcPr>
            <w:tcW w:w="2900" w:type="dxa"/>
            <w:vAlign w:val="bottom"/>
            <w:gridSpan w:val="3"/>
          </w:tcPr>
          <w:p>
            <w:pPr>
              <w:ind w:left="20"/>
              <w:spacing w:after="0"/>
              <w:rPr>
                <w:sz w:val="20"/>
                <w:szCs w:val="20"/>
                <w:color w:val="auto"/>
              </w:rPr>
            </w:pPr>
            <w:r>
              <w:rPr>
                <w:rFonts w:ascii="Arial" w:cs="Arial" w:eastAsia="Arial" w:hAnsi="Arial"/>
                <w:sz w:val="18"/>
                <w:szCs w:val="18"/>
                <w:color w:val="auto"/>
              </w:rPr>
              <w:t>Jena Quinnell</w:t>
            </w:r>
          </w:p>
        </w:tc>
        <w:tc>
          <w:tcPr>
            <w:tcW w:w="4200" w:type="dxa"/>
            <w:vAlign w:val="bottom"/>
          </w:tcPr>
          <w:p>
            <w:pPr>
              <w:ind w:left="700"/>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9"/>
        </w:trPr>
        <w:tc>
          <w:tcPr>
            <w:tcW w:w="2900" w:type="dxa"/>
            <w:vAlign w:val="bottom"/>
            <w:gridSpan w:val="3"/>
          </w:tcPr>
          <w:p>
            <w:pPr>
              <w:ind w:left="20"/>
              <w:spacing w:after="0"/>
              <w:rPr>
                <w:sz w:val="20"/>
                <w:szCs w:val="20"/>
                <w:color w:val="auto"/>
              </w:rPr>
            </w:pPr>
            <w:r>
              <w:rPr>
                <w:rFonts w:ascii="Arial" w:cs="Arial" w:eastAsia="Arial" w:hAnsi="Arial"/>
                <w:sz w:val="18"/>
                <w:szCs w:val="18"/>
                <w:color w:val="auto"/>
              </w:rPr>
              <w:t>Astrid Garcia</w:t>
            </w:r>
          </w:p>
        </w:tc>
        <w:tc>
          <w:tcPr>
            <w:tcW w:w="4200" w:type="dxa"/>
            <w:vAlign w:val="bottom"/>
          </w:tcPr>
          <w:p>
            <w:pPr>
              <w:ind w:left="700"/>
              <w:spacing w:after="0"/>
              <w:rPr>
                <w:sz w:val="20"/>
                <w:szCs w:val="20"/>
                <w:color w:val="auto"/>
              </w:rPr>
            </w:pPr>
            <w:r>
              <w:rPr>
                <w:rFonts w:ascii="Arial" w:cs="Arial" w:eastAsia="Arial" w:hAnsi="Arial"/>
                <w:sz w:val="18"/>
                <w:szCs w:val="18"/>
                <w:color w:val="auto"/>
              </w:rPr>
              <w:t>Vice President - Legal</w:t>
            </w:r>
          </w:p>
        </w:tc>
      </w:tr>
      <w:tr>
        <w:trPr>
          <w:trHeight w:val="495"/>
        </w:trPr>
        <w:tc>
          <w:tcPr>
            <w:tcW w:w="2900" w:type="dxa"/>
            <w:vAlign w:val="bottom"/>
            <w:gridSpan w:val="3"/>
          </w:tcPr>
          <w:p>
            <w:pPr>
              <w:spacing w:after="0"/>
              <w:rPr>
                <w:sz w:val="20"/>
                <w:szCs w:val="20"/>
                <w:color w:val="auto"/>
              </w:rPr>
            </w:pPr>
            <w:r>
              <w:rPr>
                <w:rFonts w:ascii="Arial" w:cs="Arial" w:eastAsia="Arial" w:hAnsi="Arial"/>
                <w:sz w:val="18"/>
                <w:szCs w:val="18"/>
                <w:b w:val="1"/>
                <w:bCs w:val="1"/>
                <w:color w:val="auto"/>
              </w:rPr>
              <w:t>AMPLIFIED DIGITAL, LLC</w:t>
            </w:r>
          </w:p>
        </w:tc>
        <w:tc>
          <w:tcPr>
            <w:tcW w:w="4200" w:type="dxa"/>
            <w:vAlign w:val="bottom"/>
          </w:tcPr>
          <w:p>
            <w:pPr>
              <w:spacing w:after="0"/>
              <w:rPr>
                <w:sz w:val="24"/>
                <w:szCs w:val="24"/>
                <w:color w:val="auto"/>
              </w:rPr>
            </w:pPr>
          </w:p>
        </w:tc>
      </w:tr>
      <w:tr>
        <w:trPr>
          <w:trHeight w:val="232"/>
        </w:trPr>
        <w:tc>
          <w:tcPr>
            <w:tcW w:w="2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Member: Pulitzer Inc.</w:t>
            </w:r>
          </w:p>
        </w:tc>
        <w:tc>
          <w:tcPr>
            <w:tcW w:w="720" w:type="dxa"/>
            <w:vAlign w:val="bottom"/>
          </w:tcPr>
          <w:p>
            <w:pPr>
              <w:spacing w:after="0"/>
              <w:rPr>
                <w:sz w:val="20"/>
                <w:szCs w:val="20"/>
                <w:color w:val="auto"/>
              </w:rPr>
            </w:pPr>
          </w:p>
        </w:tc>
        <w:tc>
          <w:tcPr>
            <w:tcW w:w="4200" w:type="dxa"/>
            <w:vAlign w:val="bottom"/>
          </w:tcPr>
          <w:p>
            <w:pPr>
              <w:spacing w:after="0"/>
              <w:rPr>
                <w:sz w:val="20"/>
                <w:szCs w:val="20"/>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FAIRGROVE LLC</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Managing Member: St. Louis Post-Dispatch LLC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PULITZER NETWORK SYSTEMS LLC</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Member: Pulitzer Inc.</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80" w:type="dxa"/>
            <w:vAlign w:val="bottom"/>
            <w:gridSpan w:val="5"/>
          </w:tcPr>
          <w:p>
            <w:pPr>
              <w:spacing w:after="0"/>
              <w:rPr>
                <w:sz w:val="20"/>
                <w:szCs w:val="20"/>
                <w:color w:val="auto"/>
              </w:rPr>
            </w:pPr>
            <w:r>
              <w:rPr>
                <w:rFonts w:ascii="Arial" w:cs="Arial" w:eastAsia="Arial" w:hAnsi="Arial"/>
                <w:sz w:val="18"/>
                <w:szCs w:val="18"/>
                <w:color w:val="auto"/>
              </w:rPr>
              <w:t>Managers and Officers:</w:t>
            </w: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72"/>
        </w:trPr>
        <w:tc>
          <w:tcPr>
            <w:tcW w:w="18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Kevin D. Mowbray</w:t>
            </w:r>
          </w:p>
        </w:tc>
        <w:tc>
          <w:tcPr>
            <w:tcW w:w="1360" w:type="dxa"/>
            <w:vAlign w:val="bottom"/>
            <w:gridSpan w:val="3"/>
          </w:tcPr>
          <w:p>
            <w:pPr>
              <w:spacing w:after="0"/>
              <w:rPr>
                <w:sz w:val="23"/>
                <w:szCs w:val="23"/>
                <w:color w:val="auto"/>
              </w:rPr>
            </w:pPr>
          </w:p>
        </w:tc>
        <w:tc>
          <w:tcPr>
            <w:tcW w:w="2680" w:type="dxa"/>
            <w:vAlign w:val="bottom"/>
            <w:gridSpan w:val="2"/>
          </w:tcPr>
          <w:p>
            <w:pPr>
              <w:ind w:left="420"/>
              <w:spacing w:after="0"/>
              <w:rPr>
                <w:sz w:val="20"/>
                <w:szCs w:val="20"/>
                <w:color w:val="auto"/>
              </w:rPr>
            </w:pPr>
            <w:r>
              <w:rPr>
                <w:rFonts w:ascii="Arial" w:cs="Arial" w:eastAsia="Arial" w:hAnsi="Arial"/>
                <w:sz w:val="18"/>
                <w:szCs w:val="18"/>
                <w:color w:val="auto"/>
              </w:rPr>
              <w:t>President and Manager</w:t>
            </w:r>
          </w:p>
        </w:tc>
      </w:tr>
      <w:tr>
        <w:trPr>
          <w:trHeight w:val="229"/>
        </w:trPr>
        <w:tc>
          <w:tcPr>
            <w:tcW w:w="3180" w:type="dxa"/>
            <w:vAlign w:val="bottom"/>
            <w:gridSpan w:val="5"/>
          </w:tcPr>
          <w:p>
            <w:pPr>
              <w:ind w:left="20"/>
              <w:spacing w:after="0"/>
              <w:rPr>
                <w:sz w:val="20"/>
                <w:szCs w:val="20"/>
                <w:color w:val="auto"/>
              </w:rPr>
            </w:pPr>
            <w:r>
              <w:rPr>
                <w:rFonts w:ascii="Arial" w:cs="Arial" w:eastAsia="Arial" w:hAnsi="Arial"/>
                <w:sz w:val="18"/>
                <w:szCs w:val="18"/>
                <w:color w:val="auto"/>
              </w:rPr>
              <w:t>T.F. Olt III</w:t>
            </w:r>
          </w:p>
        </w:tc>
        <w:tc>
          <w:tcPr>
            <w:tcW w:w="2680" w:type="dxa"/>
            <w:vAlign w:val="bottom"/>
            <w:gridSpan w:val="2"/>
          </w:tcPr>
          <w:p>
            <w:pPr>
              <w:ind w:left="420"/>
              <w:spacing w:after="0"/>
              <w:rPr>
                <w:sz w:val="20"/>
                <w:szCs w:val="20"/>
                <w:color w:val="auto"/>
              </w:rPr>
            </w:pPr>
            <w:r>
              <w:rPr>
                <w:rFonts w:ascii="Arial" w:cs="Arial" w:eastAsia="Arial" w:hAnsi="Arial"/>
                <w:sz w:val="18"/>
                <w:szCs w:val="18"/>
                <w:color w:val="auto"/>
              </w:rPr>
              <w:t>Secretary and Manager</w:t>
            </w:r>
          </w:p>
        </w:tc>
      </w:tr>
      <w:tr>
        <w:trPr>
          <w:trHeight w:val="229"/>
        </w:trPr>
        <w:tc>
          <w:tcPr>
            <w:tcW w:w="3180" w:type="dxa"/>
            <w:vAlign w:val="bottom"/>
            <w:gridSpan w:val="5"/>
          </w:tcPr>
          <w:p>
            <w:pPr>
              <w:ind w:left="20"/>
              <w:spacing w:after="0"/>
              <w:rPr>
                <w:sz w:val="20"/>
                <w:szCs w:val="20"/>
                <w:color w:val="auto"/>
              </w:rPr>
            </w:pPr>
            <w:r>
              <w:rPr>
                <w:rFonts w:ascii="Arial" w:cs="Arial" w:eastAsia="Arial" w:hAnsi="Arial"/>
                <w:sz w:val="18"/>
                <w:szCs w:val="18"/>
                <w:color w:val="auto"/>
              </w:rPr>
              <w:t>Timothy R. Millage</w:t>
            </w:r>
          </w:p>
        </w:tc>
        <w:tc>
          <w:tcPr>
            <w:tcW w:w="2680" w:type="dxa"/>
            <w:vAlign w:val="bottom"/>
            <w:gridSpan w:val="2"/>
          </w:tcPr>
          <w:p>
            <w:pPr>
              <w:ind w:left="420"/>
              <w:spacing w:after="0"/>
              <w:rPr>
                <w:sz w:val="20"/>
                <w:szCs w:val="20"/>
                <w:color w:val="auto"/>
              </w:rPr>
            </w:pPr>
            <w:r>
              <w:rPr>
                <w:rFonts w:ascii="Arial" w:cs="Arial" w:eastAsia="Arial" w:hAnsi="Arial"/>
                <w:sz w:val="18"/>
                <w:szCs w:val="18"/>
                <w:color w:val="auto"/>
              </w:rPr>
              <w:t>Treasurer and Manager</w:t>
            </w:r>
          </w:p>
        </w:tc>
      </w:tr>
      <w:tr>
        <w:trPr>
          <w:trHeight w:val="239"/>
        </w:trPr>
        <w:tc>
          <w:tcPr>
            <w:tcW w:w="3180" w:type="dxa"/>
            <w:vAlign w:val="bottom"/>
            <w:gridSpan w:val="5"/>
          </w:tcPr>
          <w:p>
            <w:pPr>
              <w:ind w:left="20"/>
              <w:spacing w:after="0"/>
              <w:rPr>
                <w:sz w:val="20"/>
                <w:szCs w:val="20"/>
                <w:color w:val="auto"/>
              </w:rPr>
            </w:pPr>
            <w:r>
              <w:rPr>
                <w:rFonts w:ascii="Arial" w:cs="Arial" w:eastAsia="Arial" w:hAnsi="Arial"/>
                <w:sz w:val="18"/>
                <w:szCs w:val="18"/>
                <w:color w:val="auto"/>
              </w:rPr>
              <w:t>Astrid Garcia</w:t>
            </w:r>
          </w:p>
        </w:tc>
        <w:tc>
          <w:tcPr>
            <w:tcW w:w="2680" w:type="dxa"/>
            <w:vAlign w:val="bottom"/>
            <w:gridSpan w:val="2"/>
          </w:tcPr>
          <w:p>
            <w:pPr>
              <w:ind w:left="420"/>
              <w:spacing w:after="0"/>
              <w:rPr>
                <w:sz w:val="20"/>
                <w:szCs w:val="20"/>
                <w:color w:val="auto"/>
              </w:rPr>
            </w:pPr>
            <w:r>
              <w:rPr>
                <w:rFonts w:ascii="Arial" w:cs="Arial" w:eastAsia="Arial" w:hAnsi="Arial"/>
                <w:sz w:val="18"/>
                <w:szCs w:val="18"/>
                <w:color w:val="auto"/>
              </w:rPr>
              <w:t>Vice President - Legal</w:t>
            </w:r>
          </w:p>
        </w:tc>
      </w:tr>
      <w:tr>
        <w:trPr>
          <w:trHeight w:val="495"/>
        </w:trPr>
        <w:tc>
          <w:tcPr>
            <w:tcW w:w="3180" w:type="dxa"/>
            <w:vAlign w:val="bottom"/>
            <w:gridSpan w:val="5"/>
          </w:tcPr>
          <w:p>
            <w:pPr>
              <w:spacing w:after="0"/>
              <w:rPr>
                <w:sz w:val="20"/>
                <w:szCs w:val="20"/>
                <w:color w:val="auto"/>
              </w:rPr>
            </w:pPr>
            <w:r>
              <w:rPr>
                <w:rFonts w:ascii="Arial" w:cs="Arial" w:eastAsia="Arial" w:hAnsi="Arial"/>
                <w:sz w:val="18"/>
                <w:szCs w:val="18"/>
                <w:b w:val="1"/>
                <w:bCs w:val="1"/>
                <w:color w:val="auto"/>
              </w:rPr>
              <w:t>ST. LOUIS POST-DISPATCH LLC</w:t>
            </w: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2"/>
        </w:trPr>
        <w:tc>
          <w:tcPr>
            <w:tcW w:w="276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Managing Member: Pulitzer Inc.</w:t>
            </w: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96"/>
        </w:trPr>
        <w:tc>
          <w:tcPr>
            <w:tcW w:w="3180" w:type="dxa"/>
            <w:vAlign w:val="bottom"/>
            <w:gridSpan w:val="5"/>
          </w:tcPr>
          <w:p>
            <w:pPr>
              <w:spacing w:after="0"/>
              <w:rPr>
                <w:sz w:val="20"/>
                <w:szCs w:val="20"/>
                <w:color w:val="auto"/>
              </w:rPr>
            </w:pPr>
            <w:r>
              <w:rPr>
                <w:rFonts w:ascii="Arial" w:cs="Arial" w:eastAsia="Arial" w:hAnsi="Arial"/>
                <w:sz w:val="18"/>
                <w:szCs w:val="18"/>
                <w:color w:val="auto"/>
              </w:rPr>
              <w:t>Officers:</w:t>
            </w: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8"/>
        </w:trPr>
        <w:tc>
          <w:tcPr>
            <w:tcW w:w="3180" w:type="dxa"/>
            <w:vAlign w:val="bottom"/>
            <w:gridSpan w:val="5"/>
          </w:tcPr>
          <w:p>
            <w:pPr>
              <w:ind w:left="20"/>
              <w:spacing w:after="0"/>
              <w:rPr>
                <w:sz w:val="20"/>
                <w:szCs w:val="20"/>
                <w:color w:val="auto"/>
              </w:rPr>
            </w:pPr>
            <w:r>
              <w:rPr>
                <w:rFonts w:ascii="Arial" w:cs="Arial" w:eastAsia="Arial" w:hAnsi="Arial"/>
                <w:sz w:val="18"/>
                <w:szCs w:val="18"/>
                <w:color w:val="auto"/>
              </w:rPr>
              <w:t>Ian Caso</w:t>
            </w:r>
          </w:p>
        </w:tc>
        <w:tc>
          <w:tcPr>
            <w:tcW w:w="2680" w:type="dxa"/>
            <w:vAlign w:val="bottom"/>
            <w:gridSpan w:val="2"/>
          </w:tcPr>
          <w:p>
            <w:pPr>
              <w:ind w:left="420"/>
              <w:spacing w:after="0"/>
              <w:rPr>
                <w:sz w:val="20"/>
                <w:szCs w:val="20"/>
                <w:color w:val="auto"/>
              </w:rPr>
            </w:pPr>
            <w:r>
              <w:rPr>
                <w:rFonts w:ascii="Arial" w:cs="Arial" w:eastAsia="Arial" w:hAnsi="Arial"/>
                <w:sz w:val="18"/>
                <w:szCs w:val="18"/>
                <w:color w:val="auto"/>
              </w:rPr>
              <w:t>President</w:t>
            </w:r>
          </w:p>
        </w:tc>
      </w:tr>
      <w:tr>
        <w:trPr>
          <w:trHeight w:val="230"/>
        </w:trPr>
        <w:tc>
          <w:tcPr>
            <w:tcW w:w="3180" w:type="dxa"/>
            <w:vAlign w:val="bottom"/>
            <w:gridSpan w:val="5"/>
          </w:tcPr>
          <w:p>
            <w:pPr>
              <w:ind w:left="20"/>
              <w:spacing w:after="0"/>
              <w:rPr>
                <w:sz w:val="20"/>
                <w:szCs w:val="20"/>
                <w:color w:val="auto"/>
              </w:rPr>
            </w:pPr>
            <w:r>
              <w:rPr>
                <w:rFonts w:ascii="Arial" w:cs="Arial" w:eastAsia="Arial" w:hAnsi="Arial"/>
                <w:sz w:val="18"/>
                <w:szCs w:val="18"/>
                <w:color w:val="auto"/>
              </w:rPr>
              <w:t>John Grove</w:t>
            </w:r>
          </w:p>
        </w:tc>
        <w:tc>
          <w:tcPr>
            <w:tcW w:w="2680" w:type="dxa"/>
            <w:vAlign w:val="bottom"/>
            <w:gridSpan w:val="2"/>
          </w:tcPr>
          <w:p>
            <w:pPr>
              <w:ind w:left="420"/>
              <w:spacing w:after="0"/>
              <w:rPr>
                <w:sz w:val="20"/>
                <w:szCs w:val="20"/>
                <w:color w:val="auto"/>
              </w:rPr>
            </w:pPr>
            <w:r>
              <w:rPr>
                <w:rFonts w:ascii="Arial" w:cs="Arial" w:eastAsia="Arial" w:hAnsi="Arial"/>
                <w:sz w:val="18"/>
                <w:szCs w:val="18"/>
                <w:color w:val="auto"/>
                <w:w w:val="99"/>
              </w:rPr>
              <w:t>Vice President of Circulation</w:t>
            </w:r>
          </w:p>
        </w:tc>
      </w:tr>
      <w:tr>
        <w:trPr>
          <w:trHeight w:val="229"/>
        </w:trPr>
        <w:tc>
          <w:tcPr>
            <w:tcW w:w="3180" w:type="dxa"/>
            <w:vAlign w:val="bottom"/>
            <w:gridSpan w:val="5"/>
          </w:tcPr>
          <w:p>
            <w:pPr>
              <w:ind w:left="20"/>
              <w:spacing w:after="0"/>
              <w:rPr>
                <w:sz w:val="20"/>
                <w:szCs w:val="20"/>
                <w:color w:val="auto"/>
              </w:rPr>
            </w:pPr>
            <w:r>
              <w:rPr>
                <w:rFonts w:ascii="Arial" w:cs="Arial" w:eastAsia="Arial" w:hAnsi="Arial"/>
                <w:sz w:val="18"/>
                <w:szCs w:val="18"/>
                <w:color w:val="auto"/>
              </w:rPr>
              <w:t>T.F. Olt III</w:t>
            </w:r>
          </w:p>
        </w:tc>
        <w:tc>
          <w:tcPr>
            <w:tcW w:w="2680" w:type="dxa"/>
            <w:vAlign w:val="bottom"/>
            <w:gridSpan w:val="2"/>
          </w:tcPr>
          <w:p>
            <w:pPr>
              <w:ind w:left="420"/>
              <w:spacing w:after="0"/>
              <w:rPr>
                <w:sz w:val="20"/>
                <w:szCs w:val="20"/>
                <w:color w:val="auto"/>
              </w:rPr>
            </w:pPr>
            <w:r>
              <w:rPr>
                <w:rFonts w:ascii="Arial" w:cs="Arial" w:eastAsia="Arial" w:hAnsi="Arial"/>
                <w:sz w:val="18"/>
                <w:szCs w:val="18"/>
                <w:color w:val="auto"/>
              </w:rPr>
              <w:t>Secretary</w:t>
            </w:r>
          </w:p>
        </w:tc>
      </w:tr>
      <w:tr>
        <w:trPr>
          <w:trHeight w:val="230"/>
        </w:trPr>
        <w:tc>
          <w:tcPr>
            <w:tcW w:w="3180" w:type="dxa"/>
            <w:vAlign w:val="bottom"/>
            <w:gridSpan w:val="5"/>
          </w:tcPr>
          <w:p>
            <w:pPr>
              <w:ind w:left="20"/>
              <w:spacing w:after="0"/>
              <w:rPr>
                <w:sz w:val="20"/>
                <w:szCs w:val="20"/>
                <w:color w:val="auto"/>
              </w:rPr>
            </w:pPr>
            <w:r>
              <w:rPr>
                <w:rFonts w:ascii="Arial" w:cs="Arial" w:eastAsia="Arial" w:hAnsi="Arial"/>
                <w:sz w:val="18"/>
                <w:szCs w:val="18"/>
                <w:color w:val="auto"/>
              </w:rPr>
              <w:t>Timothy R. Millage</w:t>
            </w:r>
          </w:p>
        </w:tc>
        <w:tc>
          <w:tcPr>
            <w:tcW w:w="2680" w:type="dxa"/>
            <w:vAlign w:val="bottom"/>
            <w:gridSpan w:val="2"/>
          </w:tcPr>
          <w:p>
            <w:pPr>
              <w:ind w:left="420"/>
              <w:spacing w:after="0"/>
              <w:rPr>
                <w:sz w:val="20"/>
                <w:szCs w:val="20"/>
                <w:color w:val="auto"/>
              </w:rPr>
            </w:pPr>
            <w:r>
              <w:rPr>
                <w:rFonts w:ascii="Arial" w:cs="Arial" w:eastAsia="Arial" w:hAnsi="Arial"/>
                <w:sz w:val="18"/>
                <w:szCs w:val="18"/>
                <w:color w:val="auto"/>
              </w:rPr>
              <w:t>Treasurer</w:t>
            </w:r>
          </w:p>
        </w:tc>
      </w:tr>
      <w:tr>
        <w:trPr>
          <w:trHeight w:val="239"/>
        </w:trPr>
        <w:tc>
          <w:tcPr>
            <w:tcW w:w="3180" w:type="dxa"/>
            <w:vAlign w:val="bottom"/>
            <w:gridSpan w:val="5"/>
          </w:tcPr>
          <w:p>
            <w:pPr>
              <w:ind w:left="20"/>
              <w:spacing w:after="0"/>
              <w:rPr>
                <w:sz w:val="20"/>
                <w:szCs w:val="20"/>
                <w:color w:val="auto"/>
              </w:rPr>
            </w:pPr>
            <w:r>
              <w:rPr>
                <w:rFonts w:ascii="Arial" w:cs="Arial" w:eastAsia="Arial" w:hAnsi="Arial"/>
                <w:sz w:val="18"/>
                <w:szCs w:val="18"/>
                <w:color w:val="auto"/>
              </w:rPr>
              <w:t>Astrid Garcia</w:t>
            </w:r>
          </w:p>
        </w:tc>
        <w:tc>
          <w:tcPr>
            <w:tcW w:w="2680" w:type="dxa"/>
            <w:vAlign w:val="bottom"/>
            <w:gridSpan w:val="2"/>
          </w:tcPr>
          <w:p>
            <w:pPr>
              <w:ind w:left="420"/>
              <w:spacing w:after="0"/>
              <w:rPr>
                <w:sz w:val="20"/>
                <w:szCs w:val="20"/>
                <w:color w:val="auto"/>
              </w:rPr>
            </w:pPr>
            <w:r>
              <w:rPr>
                <w:rFonts w:ascii="Arial" w:cs="Arial" w:eastAsia="Arial" w:hAnsi="Arial"/>
                <w:sz w:val="18"/>
                <w:szCs w:val="18"/>
                <w:color w:val="auto"/>
              </w:rPr>
              <w:t>Vice President - Legal</w:t>
            </w:r>
          </w:p>
        </w:tc>
      </w:tr>
      <w:tr>
        <w:trPr>
          <w:trHeight w:val="495"/>
        </w:trPr>
        <w:tc>
          <w:tcPr>
            <w:tcW w:w="5860" w:type="dxa"/>
            <w:vAlign w:val="bottom"/>
            <w:gridSpan w:val="7"/>
          </w:tcPr>
          <w:p>
            <w:pPr>
              <w:spacing w:after="0"/>
              <w:rPr>
                <w:sz w:val="20"/>
                <w:szCs w:val="20"/>
                <w:color w:val="auto"/>
              </w:rPr>
            </w:pPr>
            <w:r>
              <w:rPr>
                <w:rFonts w:ascii="Arial" w:cs="Arial" w:eastAsia="Arial" w:hAnsi="Arial"/>
                <w:sz w:val="18"/>
                <w:szCs w:val="18"/>
                <w:b w:val="1"/>
                <w:bCs w:val="1"/>
                <w:color w:val="auto"/>
              </w:rPr>
              <w:t>SUBURBAN JOURNALS OF GREATER ST. LOUIS LLC</w:t>
            </w:r>
          </w:p>
        </w:tc>
      </w:tr>
      <w:tr>
        <w:trPr>
          <w:trHeight w:val="232"/>
        </w:trPr>
        <w:tc>
          <w:tcPr>
            <w:tcW w:w="318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Member: Pulitzer Inc.</w:t>
            </w:r>
          </w:p>
        </w:tc>
        <w:tc>
          <w:tcPr>
            <w:tcW w:w="1420" w:type="dxa"/>
            <w:vAlign w:val="bottom"/>
            <w:tcBorders>
              <w:top w:val="single" w:sz="8" w:color="auto"/>
            </w:tcBorders>
          </w:tcPr>
          <w:p>
            <w:pPr>
              <w:spacing w:after="0"/>
              <w:rPr>
                <w:sz w:val="20"/>
                <w:szCs w:val="20"/>
                <w:color w:val="auto"/>
              </w:rPr>
            </w:pPr>
          </w:p>
        </w:tc>
        <w:tc>
          <w:tcPr>
            <w:tcW w:w="1260" w:type="dxa"/>
            <w:vAlign w:val="bottom"/>
          </w:tcPr>
          <w:p>
            <w:pPr>
              <w:spacing w:after="0"/>
              <w:rPr>
                <w:sz w:val="20"/>
                <w:szCs w:val="20"/>
                <w:color w:val="auto"/>
              </w:rPr>
            </w:pPr>
          </w:p>
        </w:tc>
      </w:tr>
      <w:tr>
        <w:trPr>
          <w:trHeight w:val="396"/>
        </w:trPr>
        <w:tc>
          <w:tcPr>
            <w:tcW w:w="3180" w:type="dxa"/>
            <w:vAlign w:val="bottom"/>
            <w:gridSpan w:val="5"/>
          </w:tcPr>
          <w:p>
            <w:pPr>
              <w:spacing w:after="0"/>
              <w:rPr>
                <w:sz w:val="20"/>
                <w:szCs w:val="20"/>
                <w:color w:val="auto"/>
              </w:rPr>
            </w:pPr>
            <w:r>
              <w:rPr>
                <w:rFonts w:ascii="Arial" w:cs="Arial" w:eastAsia="Arial" w:hAnsi="Arial"/>
                <w:sz w:val="18"/>
                <w:szCs w:val="18"/>
                <w:color w:val="auto"/>
              </w:rPr>
              <w:t>Managers and Officers:</w:t>
            </w: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2"/>
        </w:trPr>
        <w:tc>
          <w:tcPr>
            <w:tcW w:w="18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Kevin D. Mowbray</w:t>
            </w:r>
          </w:p>
        </w:tc>
        <w:tc>
          <w:tcPr>
            <w:tcW w:w="1360" w:type="dxa"/>
            <w:vAlign w:val="bottom"/>
            <w:gridSpan w:val="3"/>
          </w:tcPr>
          <w:p>
            <w:pPr>
              <w:spacing w:after="0"/>
              <w:rPr>
                <w:sz w:val="23"/>
                <w:szCs w:val="23"/>
                <w:color w:val="auto"/>
              </w:rPr>
            </w:pPr>
          </w:p>
        </w:tc>
        <w:tc>
          <w:tcPr>
            <w:tcW w:w="2680" w:type="dxa"/>
            <w:vAlign w:val="bottom"/>
            <w:gridSpan w:val="2"/>
          </w:tcPr>
          <w:p>
            <w:pPr>
              <w:ind w:left="420"/>
              <w:spacing w:after="0"/>
              <w:rPr>
                <w:sz w:val="20"/>
                <w:szCs w:val="20"/>
                <w:color w:val="auto"/>
              </w:rPr>
            </w:pPr>
            <w:r>
              <w:rPr>
                <w:rFonts w:ascii="Arial" w:cs="Arial" w:eastAsia="Arial" w:hAnsi="Arial"/>
                <w:sz w:val="18"/>
                <w:szCs w:val="18"/>
                <w:color w:val="auto"/>
              </w:rPr>
              <w:t>Manager</w:t>
            </w:r>
          </w:p>
        </w:tc>
      </w:tr>
      <w:tr>
        <w:trPr>
          <w:trHeight w:val="230"/>
        </w:trPr>
        <w:tc>
          <w:tcPr>
            <w:tcW w:w="3180" w:type="dxa"/>
            <w:vAlign w:val="bottom"/>
            <w:gridSpan w:val="5"/>
          </w:tcPr>
          <w:p>
            <w:pPr>
              <w:ind w:left="20"/>
              <w:spacing w:after="0"/>
              <w:rPr>
                <w:sz w:val="20"/>
                <w:szCs w:val="20"/>
                <w:color w:val="auto"/>
              </w:rPr>
            </w:pPr>
            <w:r>
              <w:rPr>
                <w:rFonts w:ascii="Arial" w:cs="Arial" w:eastAsia="Arial" w:hAnsi="Arial"/>
                <w:sz w:val="18"/>
                <w:szCs w:val="18"/>
                <w:color w:val="auto"/>
              </w:rPr>
              <w:t>T.F. Olt III</w:t>
            </w:r>
          </w:p>
        </w:tc>
        <w:tc>
          <w:tcPr>
            <w:tcW w:w="2680" w:type="dxa"/>
            <w:vAlign w:val="bottom"/>
            <w:gridSpan w:val="2"/>
          </w:tcPr>
          <w:p>
            <w:pPr>
              <w:ind w:left="420"/>
              <w:spacing w:after="0"/>
              <w:rPr>
                <w:sz w:val="20"/>
                <w:szCs w:val="20"/>
                <w:color w:val="auto"/>
              </w:rPr>
            </w:pPr>
            <w:r>
              <w:rPr>
                <w:rFonts w:ascii="Arial" w:cs="Arial" w:eastAsia="Arial" w:hAnsi="Arial"/>
                <w:sz w:val="18"/>
                <w:szCs w:val="18"/>
                <w:color w:val="auto"/>
              </w:rPr>
              <w:t>Secretary and Manager</w:t>
            </w:r>
          </w:p>
        </w:tc>
      </w:tr>
      <w:tr>
        <w:trPr>
          <w:trHeight w:val="230"/>
        </w:trPr>
        <w:tc>
          <w:tcPr>
            <w:tcW w:w="3180" w:type="dxa"/>
            <w:vAlign w:val="bottom"/>
            <w:gridSpan w:val="5"/>
          </w:tcPr>
          <w:p>
            <w:pPr>
              <w:ind w:left="20"/>
              <w:spacing w:after="0"/>
              <w:rPr>
                <w:sz w:val="20"/>
                <w:szCs w:val="20"/>
                <w:color w:val="auto"/>
              </w:rPr>
            </w:pPr>
            <w:r>
              <w:rPr>
                <w:rFonts w:ascii="Arial" w:cs="Arial" w:eastAsia="Arial" w:hAnsi="Arial"/>
                <w:sz w:val="18"/>
                <w:szCs w:val="18"/>
                <w:color w:val="auto"/>
              </w:rPr>
              <w:t>Timothy R. Millage</w:t>
            </w:r>
          </w:p>
        </w:tc>
        <w:tc>
          <w:tcPr>
            <w:tcW w:w="2680" w:type="dxa"/>
            <w:vAlign w:val="bottom"/>
            <w:gridSpan w:val="2"/>
          </w:tcPr>
          <w:p>
            <w:pPr>
              <w:ind w:left="420"/>
              <w:spacing w:after="0"/>
              <w:rPr>
                <w:sz w:val="20"/>
                <w:szCs w:val="20"/>
                <w:color w:val="auto"/>
              </w:rPr>
            </w:pPr>
            <w:r>
              <w:rPr>
                <w:rFonts w:ascii="Arial" w:cs="Arial" w:eastAsia="Arial" w:hAnsi="Arial"/>
                <w:sz w:val="18"/>
                <w:szCs w:val="18"/>
                <w:color w:val="auto"/>
              </w:rPr>
              <w:t>Treasurer and Manager</w:t>
            </w:r>
          </w:p>
        </w:tc>
      </w:tr>
      <w:tr>
        <w:trPr>
          <w:trHeight w:val="239"/>
        </w:trPr>
        <w:tc>
          <w:tcPr>
            <w:tcW w:w="3180" w:type="dxa"/>
            <w:vAlign w:val="bottom"/>
            <w:gridSpan w:val="5"/>
          </w:tcPr>
          <w:p>
            <w:pPr>
              <w:ind w:left="20"/>
              <w:spacing w:after="0"/>
              <w:rPr>
                <w:sz w:val="20"/>
                <w:szCs w:val="20"/>
                <w:color w:val="auto"/>
              </w:rPr>
            </w:pPr>
            <w:r>
              <w:rPr>
                <w:rFonts w:ascii="Arial" w:cs="Arial" w:eastAsia="Arial" w:hAnsi="Arial"/>
                <w:sz w:val="18"/>
                <w:szCs w:val="18"/>
                <w:color w:val="auto"/>
              </w:rPr>
              <w:t>Astrid Garcia</w:t>
            </w:r>
          </w:p>
        </w:tc>
        <w:tc>
          <w:tcPr>
            <w:tcW w:w="2680" w:type="dxa"/>
            <w:vAlign w:val="bottom"/>
            <w:gridSpan w:val="2"/>
          </w:tcPr>
          <w:p>
            <w:pPr>
              <w:ind w:left="420"/>
              <w:spacing w:after="0"/>
              <w:rPr>
                <w:sz w:val="20"/>
                <w:szCs w:val="20"/>
                <w:color w:val="auto"/>
              </w:rPr>
            </w:pPr>
            <w:r>
              <w:rPr>
                <w:rFonts w:ascii="Arial" w:cs="Arial" w:eastAsia="Arial" w:hAnsi="Arial"/>
                <w:sz w:val="18"/>
                <w:szCs w:val="18"/>
                <w:color w:val="auto"/>
              </w:rPr>
              <w:t>Vice President - Legal</w:t>
            </w:r>
          </w:p>
        </w:tc>
      </w:tr>
      <w:tr>
        <w:trPr>
          <w:trHeight w:val="495"/>
        </w:trPr>
        <w:tc>
          <w:tcPr>
            <w:tcW w:w="18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8"/>
              </w:rPr>
              <w:t>TNI PARTNERS (50%)</w:t>
            </w:r>
          </w:p>
        </w:tc>
        <w:tc>
          <w:tcPr>
            <w:tcW w:w="1320" w:type="dxa"/>
            <w:vAlign w:val="bottom"/>
            <w:gridSpan w:val="2"/>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8"/>
        </w:trPr>
        <w:tc>
          <w:tcPr>
            <w:tcW w:w="3180" w:type="dxa"/>
            <w:vAlign w:val="bottom"/>
            <w:gridSpan w:val="5"/>
          </w:tcPr>
          <w:p>
            <w:pPr>
              <w:ind w:left="20"/>
              <w:spacing w:after="0"/>
              <w:rPr>
                <w:sz w:val="20"/>
                <w:szCs w:val="20"/>
                <w:color w:val="auto"/>
              </w:rPr>
            </w:pPr>
            <w:r>
              <w:rPr>
                <w:rFonts w:ascii="Arial" w:cs="Arial" w:eastAsia="Arial" w:hAnsi="Arial"/>
                <w:sz w:val="18"/>
                <w:szCs w:val="18"/>
                <w:color w:val="auto"/>
              </w:rPr>
              <w:t>Kevin D. Mowbray</w:t>
            </w:r>
          </w:p>
        </w:tc>
        <w:tc>
          <w:tcPr>
            <w:tcW w:w="2680" w:type="dxa"/>
            <w:vAlign w:val="bottom"/>
            <w:gridSpan w:val="2"/>
          </w:tcPr>
          <w:p>
            <w:pPr>
              <w:ind w:left="420"/>
              <w:spacing w:after="0"/>
              <w:rPr>
                <w:sz w:val="20"/>
                <w:szCs w:val="20"/>
                <w:color w:val="auto"/>
              </w:rPr>
            </w:pPr>
            <w:r>
              <w:rPr>
                <w:rFonts w:ascii="Arial" w:cs="Arial" w:eastAsia="Arial" w:hAnsi="Arial"/>
                <w:sz w:val="18"/>
                <w:szCs w:val="18"/>
                <w:color w:val="auto"/>
              </w:rPr>
              <w:t>Director</w:t>
            </w:r>
          </w:p>
        </w:tc>
      </w:tr>
      <w:tr>
        <w:trPr>
          <w:trHeight w:val="229"/>
        </w:trPr>
        <w:tc>
          <w:tcPr>
            <w:tcW w:w="3180" w:type="dxa"/>
            <w:vAlign w:val="bottom"/>
            <w:gridSpan w:val="5"/>
          </w:tcPr>
          <w:p>
            <w:pPr>
              <w:ind w:left="20"/>
              <w:spacing w:after="0"/>
              <w:rPr>
                <w:sz w:val="20"/>
                <w:szCs w:val="20"/>
                <w:color w:val="auto"/>
              </w:rPr>
            </w:pPr>
            <w:r>
              <w:rPr>
                <w:rFonts w:ascii="Arial" w:cs="Arial" w:eastAsia="Arial" w:hAnsi="Arial"/>
                <w:sz w:val="18"/>
                <w:szCs w:val="18"/>
                <w:color w:val="auto"/>
              </w:rPr>
              <w:t>Nathan E. Bekke</w:t>
            </w:r>
          </w:p>
        </w:tc>
        <w:tc>
          <w:tcPr>
            <w:tcW w:w="2680" w:type="dxa"/>
            <w:vAlign w:val="bottom"/>
            <w:gridSpan w:val="2"/>
          </w:tcPr>
          <w:p>
            <w:pPr>
              <w:ind w:left="420"/>
              <w:spacing w:after="0"/>
              <w:rPr>
                <w:sz w:val="20"/>
                <w:szCs w:val="20"/>
                <w:color w:val="auto"/>
              </w:rPr>
            </w:pPr>
            <w:r>
              <w:rPr>
                <w:rFonts w:ascii="Arial" w:cs="Arial" w:eastAsia="Arial" w:hAnsi="Arial"/>
                <w:sz w:val="18"/>
                <w:szCs w:val="18"/>
                <w:color w:val="auto"/>
              </w:rPr>
              <w:t>Director</w:t>
            </w:r>
          </w:p>
        </w:tc>
      </w:tr>
      <w:tr>
        <w:trPr>
          <w:trHeight w:val="239"/>
        </w:trPr>
        <w:tc>
          <w:tcPr>
            <w:tcW w:w="3180" w:type="dxa"/>
            <w:vAlign w:val="bottom"/>
            <w:gridSpan w:val="5"/>
          </w:tcPr>
          <w:p>
            <w:pPr>
              <w:ind w:left="20"/>
              <w:spacing w:after="0"/>
              <w:rPr>
                <w:sz w:val="20"/>
                <w:szCs w:val="20"/>
                <w:color w:val="auto"/>
              </w:rPr>
            </w:pPr>
            <w:r>
              <w:rPr>
                <w:rFonts w:ascii="Arial" w:cs="Arial" w:eastAsia="Arial" w:hAnsi="Arial"/>
                <w:sz w:val="18"/>
                <w:szCs w:val="18"/>
                <w:color w:val="auto"/>
              </w:rPr>
              <w:t>Ian Caso</w:t>
            </w:r>
          </w:p>
        </w:tc>
        <w:tc>
          <w:tcPr>
            <w:tcW w:w="2680" w:type="dxa"/>
            <w:vAlign w:val="bottom"/>
            <w:gridSpan w:val="2"/>
          </w:tcPr>
          <w:p>
            <w:pPr>
              <w:ind w:left="420"/>
              <w:spacing w:after="0"/>
              <w:rPr>
                <w:sz w:val="20"/>
                <w:szCs w:val="20"/>
                <w:color w:val="auto"/>
              </w:rPr>
            </w:pPr>
            <w:r>
              <w:rPr>
                <w:rFonts w:ascii="Arial" w:cs="Arial" w:eastAsia="Arial" w:hAnsi="Arial"/>
                <w:sz w:val="18"/>
                <w:szCs w:val="18"/>
                <w:color w:val="auto"/>
              </w:rPr>
              <w:t>Director</w:t>
            </w:r>
          </w:p>
        </w:tc>
      </w:tr>
    </w:tbl>
    <w:p>
      <w:pPr>
        <w:sectPr>
          <w:pgSz w:w="11900" w:h="16838" w:orient="portrait"/>
          <w:cols w:equalWidth="0" w:num="1">
            <w:col w:w="10139"/>
          </w:cols>
          <w:pgMar w:left="320" w:top="1391" w:right="1440" w:bottom="1440" w:gutter="0" w:footer="0" w:header="0"/>
        </w:sectPr>
      </w:pPr>
    </w:p>
    <w:bookmarkStart w:id="82" w:name="page83"/>
    <w:bookmarkEnd w:id="82"/>
    <w:p>
      <w:pPr>
        <w:spacing w:after="0" w:line="200" w:lineRule="exact"/>
        <w:rPr>
          <w:sz w:val="20"/>
          <w:szCs w:val="20"/>
          <w:color w:val="auto"/>
        </w:rPr>
      </w:pPr>
    </w:p>
    <w:p>
      <w:pPr>
        <w:spacing w:after="0" w:line="250" w:lineRule="exact"/>
        <w:rPr>
          <w:sz w:val="20"/>
          <w:szCs w:val="20"/>
          <w:color w:val="auto"/>
        </w:rPr>
      </w:pPr>
    </w:p>
    <w:p>
      <w:pPr>
        <w:jc w:val="right"/>
        <w:ind w:right="2859"/>
        <w:spacing w:after="0"/>
        <w:rPr>
          <w:sz w:val="20"/>
          <w:szCs w:val="20"/>
          <w:color w:val="auto"/>
        </w:rPr>
      </w:pPr>
      <w:r>
        <w:rPr>
          <w:rFonts w:ascii="Arial" w:cs="Arial" w:eastAsia="Arial" w:hAnsi="Arial"/>
          <w:sz w:val="18"/>
          <w:szCs w:val="18"/>
          <w:b w:val="1"/>
          <w:bCs w:val="1"/>
          <w:u w:val="single" w:color="auto"/>
          <w:color w:val="auto"/>
        </w:rPr>
        <w:t>ADMINISTRATION OF BENEFIT PLANS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LEE EMPLOYEES’ RETIREMENT ACCOUNT PLAN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Administrative Committee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Astrid Garcia</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Timothy R. Millage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 P. Hall</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Nathan E. Bekke</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PULITZER INC. (“PULITZER”)</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PULITZER EMPLOYEE BENEFITS TRUST (VEBA)</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Astrid Garcia</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Timothy R. Millage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 P. Hall</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Committee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Astrid Garcia</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Timothy R. Millage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 P. Hall</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Jared Marks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LEE ENTERPRISES, INCORPORATED PENSION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Trustee: State Street Corporation and Principal Financial Group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Committee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Astrid Garcia</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Timothy R. Millage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 P. Hall</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Jared Marks</w:t>
      </w:r>
    </w:p>
    <w:p>
      <w:pPr>
        <w:sectPr>
          <w:pgSz w:w="11900" w:h="16838" w:orient="portrait"/>
          <w:cols w:equalWidth="0" w:num="1">
            <w:col w:w="10139"/>
          </w:cols>
          <w:pgMar w:left="320" w:top="1440" w:right="1440"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Lee Enterprises, Incorporated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Davenport, Iowa</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333-06435, No. 333-132768, and No. 333-237605) of Lee Enterprises, Incorporated (the Company) of our reports dated December 13, 2024, relating to the consolidated financial statements, and the effectiveness of the Company’s internal control over financial reporting, which appear in this Form 10-K.</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BDO USA, P.C.</w:t>
      </w:r>
    </w:p>
    <w:p>
      <w:pPr>
        <w:spacing w:after="0"/>
        <w:rPr>
          <w:sz w:val="20"/>
          <w:szCs w:val="20"/>
          <w:color w:val="auto"/>
        </w:rPr>
      </w:pPr>
      <w:r>
        <w:rPr>
          <w:rFonts w:ascii="Arial" w:cs="Arial" w:eastAsia="Arial" w:hAnsi="Arial"/>
          <w:sz w:val="18"/>
          <w:szCs w:val="18"/>
          <w:color w:val="auto"/>
        </w:rPr>
        <w:t>Chicago, Illinois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December 13, 2024</w:t>
      </w:r>
    </w:p>
    <w:p>
      <w:pPr>
        <w:sectPr>
          <w:pgSz w:w="11900" w:h="16838" w:orient="portrait"/>
          <w:cols w:equalWidth="0" w:num="1">
            <w:col w:w="11240"/>
          </w:cols>
          <w:pgMar w:left="320" w:top="1403"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24</w:t>
      </w: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07"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8"/>
          <w:szCs w:val="18"/>
          <w:color w:val="auto"/>
        </w:rPr>
        <w:t>KNOW ALL MEN BY THESE PRESENTS that the undersigned directors of Lee Enterprises, Incorporated, a Delaware corporation (the “Company”), hereby severally constitute and appoint each of Kevin D. Mowbray and Timothy R. Millage, and each of them, to be our true</w:t>
      </w:r>
    </w:p>
    <w:p>
      <w:pPr>
        <w:jc w:val="both"/>
        <w:spacing w:after="0" w:line="226" w:lineRule="auto"/>
        <w:rPr>
          <w:sz w:val="20"/>
          <w:szCs w:val="20"/>
          <w:color w:val="auto"/>
        </w:rPr>
      </w:pPr>
      <w:r>
        <w:rPr>
          <w:rFonts w:ascii="Arial" w:cs="Arial" w:eastAsia="Arial" w:hAnsi="Arial"/>
          <w:sz w:val="18"/>
          <w:szCs w:val="18"/>
          <w:color w:val="auto"/>
        </w:rPr>
        <w:t>and lawful attorneys-in-fact and agents, with full power of substitution and resubstitution, for each of them and in their name, place and stead, in any and all capacities, to sign the Company’s Annual Report on Form 10-K for the fiscal year ended September 29, 2024 (and any</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color w:val="auto"/>
        </w:rPr>
        <w:t>amendments thereto); granting unto such attorneys-in-fact and agents full power and authority to do and perform each and every act and thing requisite and necessary to be done, as fully for all intents and purposes as each of them might or could do in person, hereby ratifying and confirming all that such attorneys-in-fact and agents, or each of their substitute or substitutes, shall lawfully do or cause to be done by virtue hereof.</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Dated: December 13, 2024</w:t>
      </w:r>
    </w:p>
    <w:p>
      <w:pPr>
        <w:sectPr>
          <w:pgSz w:w="11900" w:h="16838" w:orient="portrait"/>
          <w:cols w:equalWidth="0" w:num="1">
            <w:col w:w="11240"/>
          </w:cols>
          <w:pgMar w:left="320" w:top="14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Kevin D. Mowbray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26580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2">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7"/>
          <w:szCs w:val="17"/>
          <w:color w:val="auto"/>
        </w:rPr>
        <w:t>Kevin D. Mowbray, President and Chief</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Director</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Steven C. 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26580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3">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Steven C. Fletcher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Director</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Margaret R. Liberman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26580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4">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Margaret R. Liberman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Director</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Shaun E. McAlmont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26580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5">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Shaun E. McAlmont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Director</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Madeline McIntosh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26580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6">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Madeline McIntosh</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/s/ Timothy R. Millage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17780</wp:posOffset>
            </wp:positionV>
            <wp:extent cx="326580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7">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ind w:right="480"/>
        <w:spacing w:after="0" w:line="303" w:lineRule="auto"/>
        <w:rPr>
          <w:sz w:val="20"/>
          <w:szCs w:val="20"/>
          <w:color w:val="auto"/>
        </w:rPr>
      </w:pPr>
      <w:r>
        <w:rPr>
          <w:rFonts w:ascii="Arial" w:cs="Arial" w:eastAsia="Arial" w:hAnsi="Arial"/>
          <w:sz w:val="18"/>
          <w:szCs w:val="18"/>
          <w:color w:val="auto"/>
        </w:rPr>
        <w:t>Timothy R. Millage, Vice President, Chief Executive Officer (Principal Financial and Accounting Officer)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/s/ Mary E. Junck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17780</wp:posOffset>
            </wp:positionV>
            <wp:extent cx="326580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8">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Mary E. Junck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 Brent M. Magid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17780</wp:posOffset>
            </wp:positionV>
            <wp:extent cx="326580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9">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Brent M. Magid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 Herbert W. Moloney lll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17780</wp:posOffset>
            </wp:positionV>
            <wp:extent cx="326580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0">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Herbert W. Moloney III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 Jonathan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17780</wp:posOffset>
            </wp:positionV>
            <wp:extent cx="326580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1">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Jonathan Miller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ectPr>
          <w:pgSz w:w="11900" w:h="16838" w:orient="portrait"/>
          <w:cols w:equalWidth="0" w:num="2">
            <w:col w:w="5360" w:space="720"/>
            <w:col w:w="5160"/>
          </w:cols>
          <w:pgMar w:left="320" w:top="1403" w:right="33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8"/>
          <w:szCs w:val="18"/>
          <w:color w:val="auto"/>
        </w:rPr>
        <w:t>Exhibit 31.1</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Kevin D. Mowbray, certify that:</w:t>
      </w:r>
    </w:p>
    <w:p>
      <w:pPr>
        <w:spacing w:after="0" w:line="185" w:lineRule="exact"/>
        <w:rPr>
          <w:sz w:val="20"/>
          <w:szCs w:val="20"/>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 ("Annual Report") of Lee Enterprises, Incorporated ("Registrant");</w:t>
      </w:r>
    </w:p>
    <w:p>
      <w:pPr>
        <w:spacing w:after="0" w:line="198" w:lineRule="exact"/>
        <w:rPr>
          <w:sz w:val="20"/>
          <w:szCs w:val="20"/>
          <w:color w:val="auto"/>
        </w:rPr>
      </w:pPr>
    </w:p>
    <w:p>
      <w:pPr>
        <w:jc w:val="both"/>
        <w:ind w:left="1300" w:right="480" w:hanging="644"/>
        <w:spacing w:after="0" w:line="268" w:lineRule="auto"/>
        <w:tabs>
          <w:tab w:leader="none" w:pos="1292"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30" w:lineRule="exact"/>
        <w:rPr>
          <w:sz w:val="20"/>
          <w:szCs w:val="20"/>
          <w:color w:val="auto"/>
        </w:rPr>
      </w:pPr>
    </w:p>
    <w:p>
      <w:pPr>
        <w:ind w:left="1300" w:right="40" w:hanging="644"/>
        <w:spacing w:after="0" w:line="268" w:lineRule="auto"/>
        <w:tabs>
          <w:tab w:leader="none" w:pos="1292"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30" w:lineRule="exact"/>
        <w:rPr>
          <w:sz w:val="20"/>
          <w:szCs w:val="20"/>
          <w:color w:val="auto"/>
        </w:rPr>
      </w:pPr>
    </w:p>
    <w:p>
      <w:pPr>
        <w:ind w:left="1300" w:right="380" w:hanging="644"/>
        <w:spacing w:after="0" w:line="268" w:lineRule="auto"/>
        <w:tabs>
          <w:tab w:leader="none" w:pos="129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2600" w:hanging="648"/>
        <w:spacing w:after="0" w:line="262" w:lineRule="auto"/>
        <w:tabs>
          <w:tab w:leader="none" w:pos="2598"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35" w:lineRule="exact"/>
        <w:rPr>
          <w:rFonts w:ascii="Arial" w:cs="Arial" w:eastAsia="Arial" w:hAnsi="Arial"/>
          <w:sz w:val="18"/>
          <w:szCs w:val="18"/>
          <w:color w:val="auto"/>
        </w:rPr>
      </w:pPr>
    </w:p>
    <w:p>
      <w:pPr>
        <w:ind w:left="2600" w:right="100" w:hanging="648"/>
        <w:spacing w:after="0" w:line="262" w:lineRule="auto"/>
        <w:tabs>
          <w:tab w:leader="none" w:pos="2598"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Arial" w:cs="Arial" w:eastAsia="Arial" w:hAnsi="Arial"/>
          <w:sz w:val="18"/>
          <w:szCs w:val="18"/>
          <w:color w:val="auto"/>
        </w:rPr>
      </w:pPr>
    </w:p>
    <w:p>
      <w:pPr>
        <w:ind w:left="2600" w:right="180" w:hanging="648"/>
        <w:spacing w:after="0" w:line="268" w:lineRule="auto"/>
        <w:tabs>
          <w:tab w:leader="none" w:pos="2588" w:val="left"/>
        </w:tabs>
        <w:numPr>
          <w:ilvl w:val="1"/>
          <w:numId w:val="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43" w:lineRule="exact"/>
        <w:rPr>
          <w:rFonts w:ascii="Arial" w:cs="Arial" w:eastAsia="Arial" w:hAnsi="Arial"/>
          <w:sz w:val="18"/>
          <w:szCs w:val="18"/>
          <w:color w:val="auto"/>
        </w:rPr>
      </w:pPr>
    </w:p>
    <w:p>
      <w:pPr>
        <w:ind w:left="2600" w:right="120" w:hanging="648"/>
        <w:spacing w:after="0" w:line="262" w:lineRule="auto"/>
        <w:tabs>
          <w:tab w:leader="none" w:pos="2598"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sz w:val="20"/>
          <w:szCs w:val="20"/>
          <w:color w:val="auto"/>
        </w:rPr>
      </w:pPr>
    </w:p>
    <w:p>
      <w:pPr>
        <w:ind w:left="1300" w:right="300" w:hanging="644"/>
        <w:spacing w:after="0" w:line="268" w:lineRule="auto"/>
        <w:tabs>
          <w:tab w:leader="none" w:pos="129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30" w:lineRule="exact"/>
        <w:rPr>
          <w:rFonts w:ascii="Arial" w:cs="Arial" w:eastAsia="Arial" w:hAnsi="Arial"/>
          <w:sz w:val="18"/>
          <w:szCs w:val="18"/>
          <w:color w:val="auto"/>
        </w:rPr>
      </w:pPr>
    </w:p>
    <w:p>
      <w:pPr>
        <w:ind w:left="2600" w:right="120" w:hanging="648"/>
        <w:spacing w:after="0" w:line="268" w:lineRule="auto"/>
        <w:tabs>
          <w:tab w:leader="none" w:pos="2598"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2600" w:right="300" w:hanging="648"/>
        <w:spacing w:after="0" w:line="287" w:lineRule="auto"/>
        <w:tabs>
          <w:tab w:leader="none" w:pos="2598"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00"/>
          </w:cols>
          <w:pgMar w:left="320" w:top="1106" w:right="37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Date: December 13, 2024</w:t>
      </w:r>
    </w:p>
    <w:p>
      <w:pPr>
        <w:spacing w:after="0" w:line="25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Kevin D. Mowbray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34925</wp:posOffset>
            </wp:positionV>
            <wp:extent cx="35661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Kevin D. Mowbray</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President and Chief Executive Officer</w:t>
      </w:r>
    </w:p>
    <w:p>
      <w:pPr>
        <w:sectPr>
          <w:pgSz w:w="11900" w:h="16838" w:orient="portrait"/>
          <w:cols w:equalWidth="0" w:num="1">
            <w:col w:w="10139"/>
          </w:cols>
          <w:pgMar w:left="320" w:top="1106" w:right="1440"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Exhibit 32</w:t>
      </w:r>
    </w:p>
    <w:p>
      <w:pPr>
        <w:spacing w:after="0" w:line="198" w:lineRule="exact"/>
        <w:rPr>
          <w:sz w:val="20"/>
          <w:szCs w:val="20"/>
          <w:color w:val="auto"/>
        </w:rPr>
      </w:pPr>
    </w:p>
    <w:p>
      <w:pPr>
        <w:ind w:right="160"/>
        <w:spacing w:after="0" w:line="318" w:lineRule="auto"/>
        <w:rPr>
          <w:sz w:val="20"/>
          <w:szCs w:val="20"/>
          <w:color w:val="auto"/>
        </w:rPr>
      </w:pPr>
      <w:r>
        <w:rPr>
          <w:rFonts w:ascii="Arial" w:cs="Arial" w:eastAsia="Arial" w:hAnsi="Arial"/>
          <w:sz w:val="17"/>
          <w:szCs w:val="17"/>
          <w:color w:val="auto"/>
        </w:rPr>
        <w:t>The following statement is being furnished to the Securities and Exchange Commission solely for purposes of Section 906 of the Sarbanes-Oxley Act of 2002 (18 U.S.C. 1350), which carries with it certain criminal penalties in the event of a knowing or willful misrepresentation.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Re: Lee Enterprises, Incorporated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85"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In accordance with the requirements of Section 906 of the Sarbanes-Oxley Act of 2002 (18 U.S.C. 1350), each of the undersigned hereby certifies that to our knowledge:</w:t>
      </w:r>
    </w:p>
    <w:p>
      <w:pPr>
        <w:spacing w:after="0" w:line="112" w:lineRule="exact"/>
        <w:rPr>
          <w:sz w:val="20"/>
          <w:szCs w:val="20"/>
          <w:color w:val="auto"/>
        </w:rPr>
      </w:pPr>
    </w:p>
    <w:p>
      <w:pPr>
        <w:ind w:left="660" w:right="80" w:hanging="652"/>
        <w:spacing w:after="0" w:line="287" w:lineRule="auto"/>
        <w:tabs>
          <w:tab w:leader="none" w:pos="658"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Annual report on Form 10-K for the period ended September 29, 2024 ("Annual Report"), fully complies with the requirements of section 13(a) or 15(d) of the Securities Exchange Act of 1934 (15 U.S.C. 78m or 78o(d)); and</w:t>
      </w:r>
    </w:p>
    <w:p>
      <w:pPr>
        <w:spacing w:after="0" w:line="125" w:lineRule="exact"/>
        <w:rPr>
          <w:rFonts w:ascii="Arial" w:cs="Arial" w:eastAsia="Arial" w:hAnsi="Arial"/>
          <w:sz w:val="18"/>
          <w:szCs w:val="18"/>
          <w:color w:val="auto"/>
        </w:rPr>
      </w:pPr>
    </w:p>
    <w:p>
      <w:pPr>
        <w:ind w:left="660" w:right="820" w:hanging="652"/>
        <w:spacing w:after="0" w:line="287" w:lineRule="auto"/>
        <w:tabs>
          <w:tab w:leader="none" w:pos="657"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this Annual Report fairly presents, in all material respects, the financial condition and results of operations of Lee Enterprises, Incorporated for the periods presented in the Annual Report.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660" w:type="dxa"/>
            <w:vAlign w:val="bottom"/>
            <w:gridSpan w:val="2"/>
          </w:tcPr>
          <w:p>
            <w:pPr>
              <w:spacing w:after="0"/>
              <w:rPr>
                <w:sz w:val="20"/>
                <w:szCs w:val="20"/>
                <w:color w:val="auto"/>
              </w:rPr>
            </w:pPr>
            <w:r>
              <w:rPr>
                <w:rFonts w:ascii="Arial" w:cs="Arial" w:eastAsia="Arial" w:hAnsi="Arial"/>
                <w:sz w:val="18"/>
                <w:szCs w:val="18"/>
                <w:color w:val="auto"/>
              </w:rPr>
              <w:t>Date: December 13, 2024</w:t>
            </w:r>
          </w:p>
        </w:tc>
        <w:tc>
          <w:tcPr>
            <w:tcW w:w="5580" w:type="dxa"/>
            <w:vAlign w:val="bottom"/>
          </w:tcPr>
          <w:p>
            <w:pPr>
              <w:spacing w:after="0"/>
              <w:rPr>
                <w:sz w:val="20"/>
                <w:szCs w:val="20"/>
                <w:color w:val="auto"/>
              </w:rPr>
            </w:pPr>
          </w:p>
        </w:tc>
      </w:tr>
      <w:tr>
        <w:trPr>
          <w:trHeight w:val="44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/s/ Kevin D. Mowbray</w:t>
            </w:r>
          </w:p>
        </w:tc>
        <w:tc>
          <w:tcPr>
            <w:tcW w:w="5580" w:type="dxa"/>
            <w:vAlign w:val="bottom"/>
          </w:tcPr>
          <w:p>
            <w:pPr>
              <w:ind w:left="20"/>
              <w:spacing w:after="0"/>
              <w:rPr>
                <w:sz w:val="20"/>
                <w:szCs w:val="20"/>
                <w:color w:val="auto"/>
              </w:rPr>
            </w:pPr>
            <w:r>
              <w:rPr>
                <w:rFonts w:ascii="Arial" w:cs="Arial" w:eastAsia="Arial" w:hAnsi="Arial"/>
                <w:sz w:val="18"/>
                <w:szCs w:val="18"/>
                <w:color w:val="auto"/>
              </w:rPr>
              <w:t>/s/ Timothy R. Millage</w:t>
            </w:r>
          </w:p>
        </w:tc>
      </w:tr>
      <w:tr>
        <w:trPr>
          <w:trHeight w:val="23"/>
        </w:trPr>
        <w:tc>
          <w:tcPr>
            <w:tcW w:w="5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41"/>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Kevin D. Mowbray</w:t>
            </w:r>
          </w:p>
        </w:tc>
        <w:tc>
          <w:tcPr>
            <w:tcW w:w="5580" w:type="dxa"/>
            <w:vAlign w:val="bottom"/>
          </w:tcPr>
          <w:p>
            <w:pPr>
              <w:ind w:left="20"/>
              <w:spacing w:after="0"/>
              <w:rPr>
                <w:sz w:val="20"/>
                <w:szCs w:val="20"/>
                <w:color w:val="auto"/>
              </w:rPr>
            </w:pPr>
            <w:r>
              <w:rPr>
                <w:rFonts w:ascii="Arial" w:cs="Arial" w:eastAsia="Arial" w:hAnsi="Arial"/>
                <w:sz w:val="18"/>
                <w:szCs w:val="18"/>
                <w:color w:val="auto"/>
              </w:rPr>
              <w:t>Timothy R. Millage</w:t>
            </w:r>
          </w:p>
        </w:tc>
      </w:tr>
      <w:tr>
        <w:trPr>
          <w:trHeight w:val="270"/>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President and Chief Executive Officer</w:t>
            </w:r>
          </w:p>
        </w:tc>
        <w:tc>
          <w:tcPr>
            <w:tcW w:w="5580" w:type="dxa"/>
            <w:vAlign w:val="bottom"/>
          </w:tcPr>
          <w:p>
            <w:pPr>
              <w:ind w:left="20"/>
              <w:spacing w:after="0"/>
              <w:rPr>
                <w:sz w:val="20"/>
                <w:szCs w:val="20"/>
                <w:color w:val="auto"/>
              </w:rPr>
            </w:pPr>
            <w:r>
              <w:rPr>
                <w:rFonts w:ascii="Arial" w:cs="Arial" w:eastAsia="Arial" w:hAnsi="Arial"/>
                <w:sz w:val="18"/>
                <w:szCs w:val="18"/>
                <w:color w:val="auto"/>
              </w:rPr>
              <w:t>Vice President, Chief Financial Officer and Treasurer</w:t>
            </w:r>
          </w:p>
        </w:tc>
      </w:tr>
    </w:tbl>
    <w:p>
      <w:pPr>
        <w:spacing w:after="0" w:line="2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Lee Enterprises, Incorporated and will be retained by Lee Enterprises, Incorporated and furnished to the Securities and Exchange Commission upon request.</w:t>
      </w:r>
    </w:p>
    <w:p>
      <w:pPr>
        <w:sectPr>
          <w:pgSz w:w="11900" w:h="16838" w:orient="portrait"/>
          <w:cols w:equalWidth="0" w:num="1">
            <w:col w:w="11240"/>
          </w:cols>
          <w:pgMar w:left="320" w:top="1106"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t>Exhibit 31.2</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Timothy R. Millage, certify that:</w:t>
      </w:r>
    </w:p>
    <w:p>
      <w:pPr>
        <w:spacing w:after="0" w:line="185" w:lineRule="exact"/>
        <w:rPr>
          <w:sz w:val="20"/>
          <w:szCs w:val="20"/>
          <w:color w:val="auto"/>
        </w:rPr>
      </w:pPr>
    </w:p>
    <w:p>
      <w:pPr>
        <w:ind w:left="1300" w:hanging="64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10-K ("Annual Report") of Lee Enterprises, Incorporated ("Registrant");</w:t>
      </w:r>
    </w:p>
    <w:p>
      <w:pPr>
        <w:spacing w:after="0" w:line="198" w:lineRule="exact"/>
        <w:rPr>
          <w:sz w:val="20"/>
          <w:szCs w:val="20"/>
          <w:color w:val="auto"/>
        </w:rPr>
      </w:pPr>
    </w:p>
    <w:p>
      <w:pPr>
        <w:jc w:val="both"/>
        <w:ind w:left="1300" w:right="480" w:hanging="644"/>
        <w:spacing w:after="0" w:line="268" w:lineRule="auto"/>
        <w:tabs>
          <w:tab w:leader="none" w:pos="1292"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30" w:lineRule="exact"/>
        <w:rPr>
          <w:sz w:val="20"/>
          <w:szCs w:val="20"/>
          <w:color w:val="auto"/>
        </w:rPr>
      </w:pPr>
    </w:p>
    <w:p>
      <w:pPr>
        <w:ind w:left="1300" w:right="40" w:hanging="644"/>
        <w:spacing w:after="0" w:line="268" w:lineRule="auto"/>
        <w:tabs>
          <w:tab w:leader="none" w:pos="1292"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30" w:lineRule="exact"/>
        <w:rPr>
          <w:sz w:val="20"/>
          <w:szCs w:val="20"/>
          <w:color w:val="auto"/>
        </w:rPr>
      </w:pPr>
    </w:p>
    <w:p>
      <w:pPr>
        <w:ind w:left="1300" w:right="380" w:hanging="644"/>
        <w:spacing w:after="0" w:line="268" w:lineRule="auto"/>
        <w:tabs>
          <w:tab w:leader="none" w:pos="129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2600" w:hanging="648"/>
        <w:spacing w:after="0" w:line="262" w:lineRule="auto"/>
        <w:tabs>
          <w:tab w:leader="none" w:pos="2598"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35" w:lineRule="exact"/>
        <w:rPr>
          <w:rFonts w:ascii="Arial" w:cs="Arial" w:eastAsia="Arial" w:hAnsi="Arial"/>
          <w:sz w:val="18"/>
          <w:szCs w:val="18"/>
          <w:color w:val="auto"/>
        </w:rPr>
      </w:pPr>
    </w:p>
    <w:p>
      <w:pPr>
        <w:ind w:left="2600" w:right="100" w:hanging="648"/>
        <w:spacing w:after="0" w:line="262" w:lineRule="auto"/>
        <w:tabs>
          <w:tab w:leader="none" w:pos="2598"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Arial" w:cs="Arial" w:eastAsia="Arial" w:hAnsi="Arial"/>
          <w:sz w:val="18"/>
          <w:szCs w:val="18"/>
          <w:color w:val="auto"/>
        </w:rPr>
      </w:pPr>
    </w:p>
    <w:p>
      <w:pPr>
        <w:ind w:left="2600" w:right="180" w:hanging="648"/>
        <w:spacing w:after="0" w:line="268" w:lineRule="auto"/>
        <w:tabs>
          <w:tab w:leader="none" w:pos="2588" w:val="left"/>
        </w:tabs>
        <w:numPr>
          <w:ilvl w:val="1"/>
          <w:numId w:val="5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43" w:lineRule="exact"/>
        <w:rPr>
          <w:rFonts w:ascii="Arial" w:cs="Arial" w:eastAsia="Arial" w:hAnsi="Arial"/>
          <w:sz w:val="18"/>
          <w:szCs w:val="18"/>
          <w:color w:val="auto"/>
        </w:rPr>
      </w:pPr>
    </w:p>
    <w:p>
      <w:pPr>
        <w:ind w:left="2600" w:right="120" w:hanging="648"/>
        <w:spacing w:after="0" w:line="262" w:lineRule="auto"/>
        <w:tabs>
          <w:tab w:leader="none" w:pos="2598"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sz w:val="20"/>
          <w:szCs w:val="20"/>
          <w:color w:val="auto"/>
        </w:rPr>
      </w:pPr>
    </w:p>
    <w:p>
      <w:pPr>
        <w:ind w:left="1300" w:right="300" w:hanging="644"/>
        <w:spacing w:after="0" w:line="268" w:lineRule="auto"/>
        <w:tabs>
          <w:tab w:leader="none" w:pos="129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30" w:lineRule="exact"/>
        <w:rPr>
          <w:rFonts w:ascii="Arial" w:cs="Arial" w:eastAsia="Arial" w:hAnsi="Arial"/>
          <w:sz w:val="18"/>
          <w:szCs w:val="18"/>
          <w:color w:val="auto"/>
        </w:rPr>
      </w:pPr>
    </w:p>
    <w:p>
      <w:pPr>
        <w:ind w:left="2600" w:right="120" w:hanging="648"/>
        <w:spacing w:after="0" w:line="268" w:lineRule="auto"/>
        <w:tabs>
          <w:tab w:leader="none" w:pos="2598"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2600" w:right="300" w:hanging="648"/>
        <w:spacing w:after="0" w:line="287" w:lineRule="auto"/>
        <w:tabs>
          <w:tab w:leader="none" w:pos="2598"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00"/>
          </w:cols>
          <w:pgMar w:left="320" w:top="1106" w:right="37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Date: December 13, 2024</w:t>
      </w:r>
    </w:p>
    <w:p>
      <w:pPr>
        <w:spacing w:after="0" w:line="252"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/s/ Timothy R. Millage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34925</wp:posOffset>
            </wp:positionV>
            <wp:extent cx="49720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3">
                      <a:extLst>
                        <a:ext uri="{28A0092B-C50C-407E-A947-70E740481C1C}"/>
                      </a:extLst>
                    </a:blip>
                    <a:srcRect/>
                    <a:stretch>
                      <a:fillRect/>
                    </a:stretch>
                  </pic:blipFill>
                  <pic:spPr bwMode="auto">
                    <a:xfrm>
                      <a:off x="0" y="0"/>
                      <a:ext cx="4972050" cy="8255"/>
                    </a:xfrm>
                    <a:prstGeom prst="rect">
                      <a:avLst/>
                    </a:prstGeom>
                    <a:noFill/>
                  </pic:spPr>
                </pic:pic>
              </a:graphicData>
            </a:graphic>
          </wp:anchor>
        </w:drawing>
      </w:r>
    </w:p>
    <w:p>
      <w:pPr>
        <w:spacing w:after="0" w:line="57"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Timothy R. Millage</w:t>
      </w:r>
    </w:p>
    <w:p>
      <w:pPr>
        <w:spacing w:after="0" w:line="63"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Vice President, Chief Financial Officer and Treasurer</w:t>
      </w:r>
    </w:p>
    <w:sectPr>
      <w:pgSz w:w="11900" w:h="16838" w:orient="portrait"/>
      <w:cols w:equalWidth="0" w:num="1">
        <w:col w:w="10139"/>
      </w:cols>
      <w:pgMar w:left="320" w:top="1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1)"/>
      <w:numFmt w:val="decimal"/>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1)"/>
      <w:numFmt w:val="lowerLetter"/>
      <w:start w:val="1"/>
    </w:lvl>
    <w:lvl w:ilvl="1">
      <w:lvlJc w:val="left"/>
      <w:lvlText w:val="•"/>
      <w:numFmt w:val="bullet"/>
      <w:start w:val="1"/>
    </w:lvl>
  </w:abstractNum>
  <w:abstractNum w:abstractNumId="11">
    <w:nsid w:val="737B8DDC"/>
    <w:multiLevelType w:val="hybridMultilevel"/>
    <w:lvl w:ilvl="0">
      <w:lvlJc w:val="left"/>
      <w:lvlText w:val="•"/>
      <w:numFmt w:val="bullet"/>
      <w:start w:val="1"/>
    </w:lvl>
    <w:lvl w:ilvl="1">
      <w:lvlJc w:val="left"/>
      <w:lvlText w:val="◦"/>
      <w:numFmt w:val="bullet"/>
      <w:start w:val="1"/>
    </w:lvl>
  </w:abstractNum>
  <w:abstractNum w:abstractNumId="12">
    <w:nsid w:val="6CEAF087"/>
    <w:multiLevelType w:val="hybridMultilevel"/>
    <w:lvl w:ilvl="0">
      <w:lvlJc w:val="left"/>
      <w:lvlText w:val="(%1)"/>
      <w:numFmt w:val="decimal"/>
      <w:start w:val="1"/>
    </w:lvl>
    <w:lvl w:ilvl="1">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1."/>
      <w:numFmt w:val="decimal"/>
      <w:start w:val="1"/>
    </w:lvl>
  </w:abstractNum>
  <w:abstractNum w:abstractNumId="17">
    <w:nsid w:val="419AC241"/>
    <w:multiLevelType w:val="hybridMultilevel"/>
    <w:lvl w:ilvl="0">
      <w:lvlJc w:val="left"/>
      <w:lvlText w:val="%1."/>
      <w:numFmt w:val="decimal"/>
      <w:start w:val="2"/>
    </w:lvl>
  </w:abstractNum>
  <w:abstractNum w:abstractNumId="18">
    <w:nsid w:val="5577F8E1"/>
    <w:multiLevelType w:val="hybridMultilevel"/>
    <w:lvl w:ilvl="0">
      <w:lvlJc w:val="left"/>
      <w:lvlText w:val="%1."/>
      <w:numFmt w:val="decimal"/>
      <w:start w:val="5"/>
    </w:lvl>
  </w:abstractNum>
  <w:abstractNum w:abstractNumId="19">
    <w:nsid w:val="440BADFC"/>
    <w:multiLevelType w:val="hybridMultilevel"/>
    <w:lvl w:ilvl="0">
      <w:lvlJc w:val="left"/>
      <w:lvlText w:val="(%1)"/>
      <w:numFmt w:val="lowerRoman"/>
      <w:start w:val="2"/>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1."/>
      <w:numFmt w:val="decimal"/>
      <w:start w:val="6"/>
    </w:lvl>
  </w:abstractNum>
  <w:abstractNum w:abstractNumId="22">
    <w:nsid w:val="77465F01"/>
    <w:multiLevelType w:val="hybridMultilevel"/>
    <w:lvl w:ilvl="0">
      <w:lvlJc w:val="left"/>
      <w:lvlText w:val="%1."/>
      <w:numFmt w:val="decimal"/>
      <w:start w:val="7"/>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1)"/>
      <w:numFmt w:val="lowerLetter"/>
      <w:start w:val="1"/>
    </w:lvl>
  </w:abstractNum>
  <w:abstractNum w:abstractNumId="25">
    <w:nsid w:val="2463B9EA"/>
    <w:multiLevelType w:val="hybridMultilevel"/>
    <w:lvl w:ilvl="0">
      <w:lvlJc w:val="left"/>
      <w:lvlText w:val="%1."/>
      <w:numFmt w:val="decimal"/>
      <w:start w:val="8"/>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1."/>
      <w:numFmt w:val="decimal"/>
      <w:start w:val="9"/>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1."/>
      <w:numFmt w:val="decimal"/>
      <w:start w:val="10"/>
    </w:lvl>
  </w:abstractNum>
  <w:abstractNum w:abstractNumId="30">
    <w:nsid w:val="153EA438"/>
    <w:multiLevelType w:val="hybridMultilevel"/>
    <w:lvl w:ilvl="0">
      <w:lvlJc w:val="left"/>
      <w:lvlText w:val="%1."/>
      <w:numFmt w:val="decimal"/>
      <w:start w:val="11"/>
    </w:lvl>
  </w:abstractNum>
  <w:abstractNum w:abstractNumId="31">
    <w:nsid w:val="3855585C"/>
    <w:multiLevelType w:val="hybridMultilevel"/>
    <w:lvl w:ilvl="0">
      <w:lvlJc w:val="left"/>
      <w:lvlText w:val="%1."/>
      <w:numFmt w:val="decimal"/>
      <w:start w:val="13"/>
    </w:lvl>
  </w:abstractNum>
  <w:abstractNum w:abstractNumId="32">
    <w:nsid w:val="70A64E2A"/>
    <w:multiLevelType w:val="hybridMultilevel"/>
    <w:lvl w:ilvl="0">
      <w:lvlJc w:val="left"/>
      <w:lvlText w:val="%1."/>
      <w:numFmt w:val="decimal"/>
      <w:start w:val="14"/>
    </w:lvl>
  </w:abstractNum>
  <w:abstractNum w:abstractNumId="33">
    <w:nsid w:val="6A2342EC"/>
    <w:multiLevelType w:val="hybridMultilevel"/>
    <w:lvl w:ilvl="0">
      <w:lvlJc w:val="left"/>
      <w:lvlText w:val="%1."/>
      <w:numFmt w:val="decimal"/>
      <w:start w:val="15"/>
    </w:lvl>
  </w:abstractNum>
  <w:abstractNum w:abstractNumId="34">
    <w:nsid w:val="2A487CB0"/>
    <w:multiLevelType w:val="hybridMultilevel"/>
    <w:lvl w:ilvl="0">
      <w:lvlJc w:val="left"/>
      <w:lvlText w:val="%1."/>
      <w:numFmt w:val="decimal"/>
      <w:start w:val="17"/>
    </w:lvl>
  </w:abstractNum>
  <w:abstractNum w:abstractNumId="35">
    <w:nsid w:val="1D4ED43B"/>
    <w:multiLevelType w:val="hybridMultilevel"/>
    <w:lvl w:ilvl="0">
      <w:lvlJc w:val="left"/>
      <w:lvlText w:val="•"/>
      <w:numFmt w:val="bullet"/>
      <w:start w:val="1"/>
    </w:lvl>
    <w:lvl w:ilvl="1">
      <w:lvlJc w:val="left"/>
      <w:lvlText w:val="◦"/>
      <w:numFmt w:val="bullet"/>
      <w:start w:val="1"/>
    </w:lvl>
  </w:abstractNum>
  <w:abstractNum w:abstractNumId="36">
    <w:nsid w:val="725A06FB"/>
    <w:multiLevelType w:val="hybridMultilevel"/>
    <w:lvl w:ilvl="0">
      <w:lvlJc w:val="left"/>
      <w:lvlText w:val="%1"/>
      <w:numFmt w:val="decimal"/>
      <w:start w:val="21"/>
    </w:lvl>
  </w:abstractNum>
  <w:abstractNum w:abstractNumId="37">
    <w:nsid w:val="2CD89A32"/>
    <w:multiLevelType w:val="hybridMultilevel"/>
    <w:lvl w:ilvl="0">
      <w:lvlJc w:val="left"/>
      <w:lvlText w:val="%1"/>
      <w:numFmt w:val="decimal"/>
      <w:start w:val="23"/>
    </w:lvl>
  </w:abstractNum>
  <w:abstractNum w:abstractNumId="38">
    <w:nsid w:val="57E4CCAF"/>
    <w:multiLevelType w:val="hybridMultilevel"/>
    <w:lvl w:ilvl="0">
      <w:lvlJc w:val="left"/>
      <w:lvlText w:val="%1"/>
      <w:numFmt w:val="decimal"/>
      <w:start w:val="32"/>
    </w:lvl>
  </w:abstractNum>
  <w:abstractNum w:abstractNumId="39">
    <w:nsid w:val="7A6D8D3C"/>
    <w:multiLevelType w:val="hybridMultilevel"/>
    <w:lvl w:ilvl="0">
      <w:lvlJc w:val="left"/>
      <w:lvlText w:val="%1"/>
      <w:numFmt w:val="decimal"/>
      <w:start w:val="104"/>
    </w:lvl>
  </w:abstractNum>
  <w:abstractNum w:abstractNumId="40">
    <w:nsid w:val="4B588F54"/>
    <w:multiLevelType w:val="hybridMultilevel"/>
    <w:lvl w:ilvl="0">
      <w:lvlJc w:val="left"/>
      <w:lvlText w:val="1"/>
      <w:numFmt w:val="bullet"/>
      <w:start w:val="1"/>
    </w:lvl>
  </w:abstractNum>
  <w:abstractNum w:abstractNumId="41">
    <w:nsid w:val="542289EC"/>
    <w:multiLevelType w:val="hybridMultilevel"/>
    <w:lvl w:ilvl="0">
      <w:lvlJc w:val="left"/>
      <w:lvlText w:val="2"/>
      <w:numFmt w:val="bullet"/>
      <w:start w:val="1"/>
    </w:lvl>
  </w:abstractNum>
  <w:abstractNum w:abstractNumId="42">
    <w:nsid w:val="6DE91B18"/>
    <w:multiLevelType w:val="hybridMultilevel"/>
    <w:lvl w:ilvl="0">
      <w:lvlJc w:val="left"/>
      <w:lvlText w:val="3"/>
      <w:numFmt w:val="bullet"/>
      <w:start w:val="1"/>
    </w:lvl>
  </w:abstractNum>
  <w:abstractNum w:abstractNumId="43">
    <w:nsid w:val="38437FDB"/>
    <w:multiLevelType w:val="hybridMultilevel"/>
    <w:lvl w:ilvl="0">
      <w:lvlJc w:val="left"/>
      <w:lvlText w:val="4"/>
      <w:numFmt w:val="bullet"/>
      <w:start w:val="1"/>
    </w:lvl>
    <w:lvl w:ilvl="1">
      <w:lvlJc w:val="left"/>
      <w:lvlText w:val="%2)"/>
      <w:numFmt w:val="lowerLetter"/>
      <w:start w:val="1"/>
    </w:lvl>
  </w:abstractNum>
  <w:abstractNum w:abstractNumId="44">
    <w:nsid w:val="7644A45C"/>
    <w:multiLevelType w:val="hybridMultilevel"/>
    <w:lvl w:ilvl="0">
      <w:lvlJc w:val="left"/>
      <w:lvlText w:val="5"/>
      <w:numFmt w:val="bullet"/>
      <w:start w:val="1"/>
    </w:lvl>
    <w:lvl w:ilvl="1">
      <w:lvlJc w:val="left"/>
      <w:lvlText w:val="%2)"/>
      <w:numFmt w:val="lowerLetter"/>
      <w:start w:val="1"/>
    </w:lvl>
  </w:abstractNum>
  <w:abstractNum w:abstractNumId="45">
    <w:nsid w:val="32FFF902"/>
    <w:multiLevelType w:val="hybridMultilevel"/>
    <w:lvl w:ilvl="0">
      <w:lvlJc w:val="left"/>
      <w:lvlText w:val="(%1)"/>
      <w:numFmt w:val="lowerRoman"/>
      <w:start w:val="1"/>
    </w:lvl>
  </w:abstractNum>
  <w:abstractNum w:abstractNumId="46">
    <w:nsid w:val="684A481A"/>
    <w:multiLevelType w:val="hybridMultilevel"/>
    <w:lvl w:ilvl="0">
      <w:lvlJc w:val="left"/>
      <w:lvlText w:val="1"/>
      <w:numFmt w:val="bullet"/>
      <w:start w:val="1"/>
    </w:lvl>
  </w:abstractNum>
  <w:abstractNum w:abstractNumId="47">
    <w:nsid w:val="579478FE"/>
    <w:multiLevelType w:val="hybridMultilevel"/>
    <w:lvl w:ilvl="0">
      <w:lvlJc w:val="left"/>
      <w:lvlText w:val="2"/>
      <w:numFmt w:val="bullet"/>
      <w:start w:val="1"/>
    </w:lvl>
  </w:abstractNum>
  <w:abstractNum w:abstractNumId="48">
    <w:nsid w:val="749ABB43"/>
    <w:multiLevelType w:val="hybridMultilevel"/>
    <w:lvl w:ilvl="0">
      <w:lvlJc w:val="left"/>
      <w:lvlText w:val="3"/>
      <w:numFmt w:val="bullet"/>
      <w:start w:val="1"/>
    </w:lvl>
  </w:abstractNum>
  <w:abstractNum w:abstractNumId="49">
    <w:nsid w:val="3DC240FB"/>
    <w:multiLevelType w:val="hybridMultilevel"/>
    <w:lvl w:ilvl="0">
      <w:lvlJc w:val="left"/>
      <w:lvlText w:val="4"/>
      <w:numFmt w:val="bullet"/>
      <w:start w:val="1"/>
    </w:lvl>
    <w:lvl w:ilvl="1">
      <w:lvlJc w:val="left"/>
      <w:lvlText w:val="%2)"/>
      <w:numFmt w:val="lowerLetter"/>
      <w:start w:val="1"/>
    </w:lvl>
  </w:abstractNum>
  <w:abstractNum w:abstractNumId="50">
    <w:nsid w:val="1BA026FA"/>
    <w:multiLevelType w:val="hybridMultilevel"/>
    <w:lvl w:ilvl="0">
      <w:lvlJc w:val="left"/>
      <w:lvlText w:val="5"/>
      <w:numFmt w:val="bullet"/>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21" Type="http://schemas.openxmlformats.org/officeDocument/2006/relationships/image" Target="media/image101.png"/><Relationship Id="rId122" Type="http://schemas.openxmlformats.org/officeDocument/2006/relationships/image" Target="media/image102.png"/><Relationship Id="rId136" Type="http://schemas.openxmlformats.org/officeDocument/2006/relationships/image" Target="media/image103.png"/><Relationship Id="rId137" Type="http://schemas.openxmlformats.org/officeDocument/2006/relationships/image" Target="media/image104.png"/><Relationship Id="rId139" Type="http://schemas.openxmlformats.org/officeDocument/2006/relationships/image" Target="media/image105.png"/><Relationship Id="rId140" Type="http://schemas.openxmlformats.org/officeDocument/2006/relationships/image" Target="media/image106.png"/><Relationship Id="rId141" Type="http://schemas.openxmlformats.org/officeDocument/2006/relationships/image" Target="media/image107.png"/><Relationship Id="rId142" Type="http://schemas.openxmlformats.org/officeDocument/2006/relationships/image" Target="media/image108.png"/><Relationship Id="rId143" Type="http://schemas.openxmlformats.org/officeDocument/2006/relationships/image" Target="media/image109.png"/><Relationship Id="rId144" Type="http://schemas.openxmlformats.org/officeDocument/2006/relationships/image" Target="media/image110.png"/><Relationship Id="rId145" Type="http://schemas.openxmlformats.org/officeDocument/2006/relationships/image" Target="media/image111.png"/><Relationship Id="rId146" Type="http://schemas.openxmlformats.org/officeDocument/2006/relationships/image" Target="media/image112.png"/><Relationship Id="rId147" Type="http://schemas.openxmlformats.org/officeDocument/2006/relationships/image" Target="media/image113.png"/><Relationship Id="rId148" Type="http://schemas.openxmlformats.org/officeDocument/2006/relationships/image" Target="media/image114.png"/><Relationship Id="rId149" Type="http://schemas.openxmlformats.org/officeDocument/2006/relationships/image" Target="media/image115.png"/><Relationship Id="rId150" Type="http://schemas.openxmlformats.org/officeDocument/2006/relationships/image" Target="media/image116.png"/><Relationship Id="rId151" Type="http://schemas.openxmlformats.org/officeDocument/2006/relationships/image" Target="media/image117.png"/><Relationship Id="rId152" Type="http://schemas.openxmlformats.org/officeDocument/2006/relationships/image" Target="media/image118.png"/><Relationship Id="rId153" Type="http://schemas.openxmlformats.org/officeDocument/2006/relationships/image" Target="media/image119.png"/><Relationship Id="rId36" Type="http://schemas.openxmlformats.org/officeDocument/2006/relationships/hyperlink" Target="https://www.sec.gov/ix?doc=/Archives/edgar/data/58361/000162828023041119/lee-20230924.htm" TargetMode="External"/><Relationship Id="rId109" Type="http://schemas.openxmlformats.org/officeDocument/2006/relationships/hyperlink" Target="https://www.sec.gov/Archives/edgar/data/58361/000119312512039041/d291240dex31.htm" TargetMode="External"/><Relationship Id="rId110" Type="http://schemas.openxmlformats.org/officeDocument/2006/relationships/hyperlink" Target="https://www.sec.gov/Archives/edgar/data/58361/000118301019000005/bylaws.htm" TargetMode="External"/><Relationship Id="rId111" Type="http://schemas.openxmlformats.org/officeDocument/2006/relationships/hyperlink" Target="https://www.sec.gov/ix?doc=/Archives/edgar/data/58361/000162828024013717/lee-20240329.htm" TargetMode="External"/><Relationship Id="rId112" Type="http://schemas.openxmlformats.org/officeDocument/2006/relationships/hyperlink" Target="https://www.sec.gov/Archives/edgar/data/58361/000114036120001653/ex10_1.htm" TargetMode="External"/><Relationship Id="rId113" Type="http://schemas.openxmlformats.org/officeDocument/2006/relationships/hyperlink" Target="https://www.sec.gov/Archives/edgar/data/58361/000114036120001653/ex10_2.htm" TargetMode="External"/><Relationship Id="rId114" Type="http://schemas.openxmlformats.org/officeDocument/2006/relationships/hyperlink" Target="https://www.sec.gov/Archives/edgar/data/58361/000114036120001653/ex10_3.htm" TargetMode="External"/><Relationship Id="rId115" Type="http://schemas.openxmlformats.org/officeDocument/2006/relationships/hyperlink" Target="https://www.sec.gov/Archives/edgar/data/58361/000119312505162850/dex105.htm" TargetMode="External"/><Relationship Id="rId116" Type="http://schemas.openxmlformats.org/officeDocument/2006/relationships/hyperlink" Target="https://www.sec.gov/Archives/edgar/data/58361/000119312509105457/dex1013.htm" TargetMode="External"/><Relationship Id="rId117" Type="http://schemas.openxmlformats.org/officeDocument/2006/relationships/hyperlink" Target="https://www.sec.gov/Archives/edgar/data/58361/000119312505162850/dex102.htm" TargetMode="External"/><Relationship Id="rId118" Type="http://schemas.openxmlformats.org/officeDocument/2006/relationships/hyperlink" Target="https://www.sec.gov/Archives/edgar/data/58361/000144530510000062/amendedpartnershipagreement.htm" TargetMode="External"/><Relationship Id="rId119" Type="http://schemas.openxmlformats.org/officeDocument/2006/relationships/hyperlink" Target="https://www.sec.gov/Archives/edgar/data/58361/000144530510000062/amendedmanagementagreement.htm" TargetMode="External"/><Relationship Id="rId120" Type="http://schemas.openxmlformats.org/officeDocument/2006/relationships/hyperlink" Target="https://www.sec.gov/Archives/edgar/data/58361/000144530510000062/licenseagreementstar.htm" TargetMode="External"/><Relationship Id="rId123" Type="http://schemas.openxmlformats.org/officeDocument/2006/relationships/hyperlink" Target="https://www.sec.gov/Archives/edgar/data/58361/000144530510000062/licenseagreementcitizen.htm" TargetMode="External"/><Relationship Id="rId124" Type="http://schemas.openxmlformats.org/officeDocument/2006/relationships/hyperlink" Target="https://www.sec.gov/Archives/edgar/data/58361/000119312505162850/dex107.htm" TargetMode="External"/><Relationship Id="rId125" Type="http://schemas.openxmlformats.org/officeDocument/2006/relationships/hyperlink" Target="https://www.sec.gov/Archives/edgar/data/58361/000118301020000006/ex4_2.htm" TargetMode="External"/><Relationship Id="rId126" Type="http://schemas.openxmlformats.org/officeDocument/2006/relationships/hyperlink" Target="https://www.sec.gov/Archives/edgar/data/58361/000118301016000020/ex102.htm" TargetMode="External"/><Relationship Id="rId127" Type="http://schemas.openxmlformats.org/officeDocument/2006/relationships/hyperlink" Target="https://www.sec.gov/Archives/edgar/data/58361/000118301016000020/ex103.htm" TargetMode="External"/><Relationship Id="rId128" Type="http://schemas.openxmlformats.org/officeDocument/2006/relationships/hyperlink" Target="https://www.sec.gov/Archives/edgar/data/58361/000118301016000020/ex104.htm" TargetMode="External"/><Relationship Id="rId129" Type="http://schemas.openxmlformats.org/officeDocument/2006/relationships/hyperlink" Target="https://www.sec.gov/Archives/edgar/data/58361/000119312508262419/dex1025.htm" TargetMode="External"/><Relationship Id="rId130" Type="http://schemas.openxmlformats.org/officeDocument/2006/relationships/hyperlink" Target="https://www.sec.gov/Archives/edgar/data/58361/000119312508262419/dex1026.htm" TargetMode="External"/><Relationship Id="rId131" Type="http://schemas.openxmlformats.org/officeDocument/2006/relationships/hyperlink" Target="https://www.sec.gov/Archives/edgar/data/58361/000005836118000038/ex10312presandcooemploymen.htm" TargetMode="External"/><Relationship Id="rId132" Type="http://schemas.openxmlformats.org/officeDocument/2006/relationships/hyperlink" Target="https://www.sec.gov/Archives/edgar/data/58361/000005836118000038/ex10313srexecutiveofficers.htm" TargetMode="External"/><Relationship Id="rId133" Type="http://schemas.openxmlformats.org/officeDocument/2006/relationships/hyperlink" Target="https://www.sec.gov/Archives/edgar/data/58361/000005836118000038/a1032formofindemnification.htm" TargetMode="External"/><Relationship Id="rId134" Type="http://schemas.openxmlformats.org/officeDocument/2006/relationships/hyperlink" Target="https://www.sec.gov/Archives/edgar/data/58361/000005836117000003/a2017proxystatement.htm" TargetMode="External"/><Relationship Id="rId135" Type="http://schemas.openxmlformats.org/officeDocument/2006/relationships/hyperlink" Target="https://www.sec.gov/Archives/edgar/data/58361/000162828023041119/lee92423ex19insidertrading.htm" TargetMode="External"/><Relationship Id="rId138" Type="http://schemas.openxmlformats.org/officeDocument/2006/relationships/hyperlink" Target="https://www.sec.gov/Archives/edgar/data/58361/000162828023041119/lee10-k92423ex97clawbac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2024-12-13T14:05:00Z</dcterms:created>
  <dcterms:modified xsi:type="dcterms:W3CDTF">2024-12-13T14:05:00Z</dcterms:modified>
</cp:coreProperties>
</file>