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600" w:hanging="1370"/>
        <w:spacing w:after="0" w:line="246"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26,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46"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6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46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r>
        <w:trPr>
          <w:trHeight w:val="230"/>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Preferred Share Purchase Rights</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ind w:right="21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2022, 5,956,990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Table Of Contents</w:t>
            </w: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 LOOKING STATEMENTS</w:t>
              </w:r>
            </w:hyperlink>
          </w:p>
        </w:tc>
        <w:tc>
          <w:tcPr>
            <w:tcW w:w="540" w:type="dxa"/>
            <w:vAlign w:val="bottom"/>
            <w:gridSpan w:val="4"/>
          </w:tcPr>
          <w:p>
            <w:pPr>
              <w:jc w:val="center"/>
              <w:ind w:left="2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340" w:type="dxa"/>
            <w:vAlign w:val="bottom"/>
            <w:gridSpan w:val="13"/>
          </w:tcPr>
          <w:p>
            <w:pPr>
              <w:spacing w:after="0"/>
              <w:rPr>
                <w:sz w:val="24"/>
                <w:szCs w:val="24"/>
                <w:color w:val="auto"/>
              </w:rPr>
            </w:pPr>
          </w:p>
        </w:tc>
        <w:tc>
          <w:tcPr>
            <w:tcW w:w="38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40" w:type="dxa"/>
            <w:vAlign w:val="bottom"/>
            <w:gridSpan w:val="4"/>
          </w:tcPr>
          <w:p>
            <w:pPr>
              <w:jc w:val="center"/>
              <w:ind w:left="2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Consolidated Balance Sheets - December 26, 2021, and September 26, </w:t>
              </w:r>
            </w:hyperlink>
            <w:r>
              <w:rPr>
                <w:rFonts w:ascii="Arial" w:cs="Arial" w:eastAsia="Arial" w:hAnsi="Arial"/>
                <w:sz w:val="18"/>
                <w:szCs w:val="18"/>
                <w:color w:val="0000EE"/>
              </w:rPr>
              <w:t>2021</w:t>
            </w:r>
          </w:p>
        </w:tc>
        <w:tc>
          <w:tcPr>
            <w:tcW w:w="540" w:type="dxa"/>
            <w:vAlign w:val="bottom"/>
            <w:gridSpan w:val="4"/>
          </w:tcPr>
          <w:p>
            <w:pPr>
              <w:jc w:val="center"/>
              <w:ind w:left="2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Income (Loss) and Comprehensive Income (Loss) - 13 weeks ended December</w:t>
              </w:r>
            </w:hyperlink>
          </w:p>
        </w:tc>
        <w:tc>
          <w:tcPr>
            <w:tcW w:w="2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26, 2021 and December 27, 2020</w:t>
              </w:r>
            </w:hyperlink>
          </w:p>
        </w:tc>
        <w:tc>
          <w:tcPr>
            <w:tcW w:w="5920" w:type="dxa"/>
            <w:vAlign w:val="bottom"/>
            <w:tcBorders>
              <w:top w:val="single" w:sz="8" w:color="0000EE"/>
            </w:tcBorders>
            <w:gridSpan w:val="7"/>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Stockholder's Equity (Deficit) - 13 weeks ended December 26, 2021, and</w:t>
              </w:r>
            </w:hyperlink>
          </w:p>
        </w:tc>
        <w:tc>
          <w:tcPr>
            <w:tcW w:w="740" w:type="dxa"/>
            <w:vAlign w:val="bottom"/>
            <w:gridSpan w:val="3"/>
          </w:tcPr>
          <w:p>
            <w:pPr>
              <w:spacing w:after="0"/>
              <w:rPr>
                <w:sz w:val="24"/>
                <w:szCs w:val="24"/>
                <w:color w:val="auto"/>
              </w:rPr>
            </w:pPr>
          </w:p>
        </w:tc>
        <w:tc>
          <w:tcPr>
            <w:tcW w:w="38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December 27, 2020</w:t>
              </w:r>
            </w:hyperlink>
          </w:p>
        </w:tc>
        <w:tc>
          <w:tcPr>
            <w:tcW w:w="6480" w:type="dxa"/>
            <w:vAlign w:val="bottom"/>
            <w:tcBorders>
              <w:top w:val="single" w:sz="8" w:color="0000EE"/>
            </w:tcBorders>
            <w:gridSpan w:val="8"/>
          </w:tcPr>
          <w:p>
            <w:pPr>
              <w:spacing w:after="0"/>
              <w:rPr>
                <w:sz w:val="15"/>
                <w:szCs w:val="15"/>
                <w:color w:val="auto"/>
              </w:rPr>
            </w:pPr>
          </w:p>
        </w:tc>
        <w:tc>
          <w:tcPr>
            <w:tcW w:w="74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40" w:type="dxa"/>
            <w:vAlign w:val="bottom"/>
            <w:gridSpan w:val="16"/>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Statements of Cash Flows - 13 weeks ended December 26, 2021, and December 27, 2020</w:t>
              </w:r>
            </w:hyperlink>
          </w:p>
        </w:tc>
        <w:tc>
          <w:tcPr>
            <w:tcW w:w="46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1"/>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Notes to Consolidated Financial Statements</w:t>
              </w:r>
            </w:hyperlink>
          </w:p>
        </w:tc>
        <w:tc>
          <w:tcPr>
            <w:tcW w:w="4840" w:type="dxa"/>
            <w:vAlign w:val="bottom"/>
            <w:gridSpan w:val="5"/>
          </w:tcPr>
          <w:p>
            <w:pPr>
              <w:spacing w:after="0"/>
              <w:rPr>
                <w:sz w:val="24"/>
                <w:szCs w:val="24"/>
                <w:color w:val="auto"/>
              </w:rPr>
            </w:pPr>
          </w:p>
        </w:tc>
        <w:tc>
          <w:tcPr>
            <w:tcW w:w="46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160" w:type="dxa"/>
            <w:vAlign w:val="bottom"/>
            <w:gridSpan w:val="2"/>
          </w:tcPr>
          <w:p>
            <w:pPr>
              <w:jc w:val="center"/>
              <w:ind w:right="6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12</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16</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4100" w:type="dxa"/>
            <w:vAlign w:val="bottom"/>
            <w:gridSpan w:val="6"/>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16</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58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820" w:type="dxa"/>
            <w:vAlign w:val="bottom"/>
            <w:gridSpan w:val="5"/>
          </w:tcPr>
          <w:p>
            <w:pPr>
              <w:jc w:val="cente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17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820" w:type="dxa"/>
            <w:vAlign w:val="bottom"/>
            <w:gridSpan w:val="5"/>
          </w:tcPr>
          <w:p>
            <w:pPr>
              <w:jc w:val="cente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17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Risk Factors</w:t>
              </w:r>
            </w:hyperlink>
          </w:p>
        </w:tc>
        <w:tc>
          <w:tcPr>
            <w:tcW w:w="480" w:type="dxa"/>
            <w:vAlign w:val="bottom"/>
            <w:gridSpan w:val="4"/>
          </w:tcPr>
          <w:p>
            <w:pPr>
              <w:spacing w:after="0"/>
              <w:rPr>
                <w:sz w:val="24"/>
                <w:szCs w:val="24"/>
                <w:color w:val="auto"/>
              </w:rPr>
            </w:pPr>
          </w:p>
        </w:tc>
        <w:tc>
          <w:tcPr>
            <w:tcW w:w="7320" w:type="dxa"/>
            <w:vAlign w:val="bottom"/>
            <w:gridSpan w:val="12"/>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17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800" w:type="dxa"/>
            <w:vAlign w:val="bottom"/>
            <w:gridSpan w:val="16"/>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17</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5"/>
          </w:tcPr>
          <w:p>
            <w:pPr>
              <w:jc w:val="cente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18</w:t>
              </w:r>
            </w:hyperlink>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“2022”, “2021"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59"/>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189"/>
        </w:trPr>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December 26,</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26,</w:t>
            </w:r>
          </w:p>
        </w:tc>
      </w:tr>
      <w:tr>
        <w:trPr>
          <w:trHeight w:val="203"/>
        </w:trPr>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128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18,585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26,112</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73,193</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65,070</w:t>
            </w: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6,340</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10,193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108,311</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108,799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27,306</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26,682</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6,281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6,065</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33,587</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32,747</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14,562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16,576</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92,986</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106,890</w:t>
            </w:r>
          </w:p>
        </w:tc>
      </w:tr>
      <w:tr>
        <w:trPr>
          <w:trHeight w:val="202"/>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210,636</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228,817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4,450</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322,634</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355,096</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243,542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271,830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79,092</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83,266</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62,632</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65,682</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330,204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150,901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156,671</w:t>
            </w:r>
          </w:p>
        </w:tc>
      </w:tr>
      <w:tr>
        <w:trPr>
          <w:trHeight w:val="203"/>
        </w:trPr>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36,121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35,855</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17,883</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16,695</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13,118</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13,632</w:t>
            </w:r>
          </w:p>
        </w:tc>
      </w:tr>
      <w:tr>
        <w:trPr>
          <w:trHeight w:val="236"/>
        </w:trPr>
        <w:tc>
          <w:tcPr>
            <w:tcW w:w="38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831,849</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95"/>
        </w:trPr>
        <w:tc>
          <w:tcPr>
            <w:tcW w:w="7500" w:type="dxa"/>
            <w:vAlign w:val="bottom"/>
          </w:tcPr>
          <w:p>
            <w:pPr>
              <w:spacing w:after="0"/>
              <w:rPr>
                <w:sz w:val="16"/>
                <w:szCs w:val="16"/>
                <w:color w:val="auto"/>
              </w:rPr>
            </w:pPr>
          </w:p>
        </w:tc>
        <w:tc>
          <w:tcPr>
            <w:tcW w:w="21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December 26,</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26,</w:t>
            </w:r>
          </w:p>
        </w:tc>
      </w:tr>
      <w:tr>
        <w:trPr>
          <w:trHeight w:val="203"/>
        </w:trPr>
        <w:tc>
          <w:tcPr>
            <w:tcW w:w="75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1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r>
      <w:tr>
        <w:trPr>
          <w:trHeight w:val="196"/>
        </w:trPr>
        <w:tc>
          <w:tcPr>
            <w:tcW w:w="7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EQUITY</w:t>
            </w:r>
          </w:p>
        </w:tc>
        <w:tc>
          <w:tcPr>
            <w:tcW w:w="2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8,671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8,612</w:t>
            </w:r>
          </w:p>
        </w:tc>
      </w:tr>
      <w:tr>
        <w:trPr>
          <w:trHeight w:val="203"/>
        </w:trPr>
        <w:tc>
          <w:tcPr>
            <w:tcW w:w="7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6,112</w:t>
            </w: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28,012</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20,420</w:t>
            </w:r>
          </w:p>
        </w:tc>
      </w:tr>
      <w:tr>
        <w:trPr>
          <w:trHeight w:val="203"/>
        </w:trPr>
        <w:tc>
          <w:tcPr>
            <w:tcW w:w="7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43,648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45,076</w:t>
            </w:r>
          </w:p>
        </w:tc>
      </w:tr>
      <w:tr>
        <w:trPr>
          <w:trHeight w:val="216"/>
        </w:trPr>
        <w:tc>
          <w:tcPr>
            <w:tcW w:w="7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61,281</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61,404</w:t>
            </w:r>
          </w:p>
        </w:tc>
      </w:tr>
      <w:tr>
        <w:trPr>
          <w:trHeight w:val="196"/>
        </w:trPr>
        <w:tc>
          <w:tcPr>
            <w:tcW w:w="7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1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141,612</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141,624</w:t>
            </w: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1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462,554</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476,504</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54,563</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57,683</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25,727</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22,444</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11,564</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11,008</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38,957</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40,295</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8,840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9,174</w:t>
            </w:r>
          </w:p>
        </w:tc>
      </w:tr>
      <w:tr>
        <w:trPr>
          <w:trHeight w:val="216"/>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24,927</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28,121</w:t>
            </w:r>
          </w:p>
        </w:tc>
      </w:tr>
      <w:tr>
        <w:trPr>
          <w:trHeight w:val="196"/>
        </w:trPr>
        <w:tc>
          <w:tcPr>
            <w:tcW w:w="7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1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768,744</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786,853</w:t>
            </w:r>
          </w:p>
        </w:tc>
      </w:tr>
      <w:tr>
        <w:trPr>
          <w:trHeight w:val="196"/>
        </w:trPr>
        <w:tc>
          <w:tcPr>
            <w:tcW w:w="7500" w:type="dxa"/>
            <w:vAlign w:val="bottom"/>
          </w:tcPr>
          <w:p>
            <w:pPr>
              <w:spacing w:after="0" w:line="196" w:lineRule="exact"/>
              <w:rPr>
                <w:sz w:val="20"/>
                <w:szCs w:val="20"/>
                <w:color w:val="auto"/>
              </w:rPr>
            </w:pPr>
            <w:r>
              <w:rPr>
                <w:rFonts w:ascii="Arial" w:cs="Arial" w:eastAsia="Arial" w:hAnsi="Arial"/>
                <w:sz w:val="18"/>
                <w:szCs w:val="18"/>
                <w:color w:val="auto"/>
              </w:rPr>
              <w:t>Equity:</w:t>
            </w:r>
          </w:p>
        </w:tc>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w:t>
            </w:r>
          </w:p>
        </w:tc>
        <w:tc>
          <w:tcPr>
            <w:tcW w:w="2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 shares; issued and outstanding:</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203"/>
        </w:trPr>
        <w:tc>
          <w:tcPr>
            <w:tcW w:w="7500" w:type="dxa"/>
            <w:vAlign w:val="bottom"/>
          </w:tcPr>
          <w:p>
            <w:pPr>
              <w:ind w:left="500"/>
              <w:spacing w:after="0" w:line="202" w:lineRule="exact"/>
              <w:rPr>
                <w:sz w:val="20"/>
                <w:szCs w:val="20"/>
                <w:color w:val="auto"/>
              </w:rPr>
            </w:pPr>
            <w:r>
              <w:rPr>
                <w:rFonts w:ascii="Arial" w:cs="Arial" w:eastAsia="Arial" w:hAnsi="Arial"/>
                <w:sz w:val="18"/>
                <w:szCs w:val="18"/>
                <w:color w:val="auto"/>
              </w:rPr>
              <w:t>December 26, 2021; 5,957 shares; $0.01 par value</w:t>
            </w:r>
          </w:p>
        </w:tc>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0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26, 2021; 5,889 shares; $0.01 par value</w:t>
            </w:r>
          </w:p>
        </w:tc>
        <w:tc>
          <w:tcPr>
            <w:tcW w:w="2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1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1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257,863</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258,063</w:t>
            </w: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1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(233,086)</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(245,744)</w:t>
            </w:r>
          </w:p>
        </w:tc>
      </w:tr>
      <w:tr>
        <w:trPr>
          <w:trHeight w:val="203"/>
        </w:trPr>
        <w:tc>
          <w:tcPr>
            <w:tcW w:w="75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income</w:t>
            </w:r>
          </w:p>
        </w:tc>
        <w:tc>
          <w:tcPr>
            <w:tcW w:w="21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36,075</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42,187</w:t>
            </w:r>
          </w:p>
        </w:tc>
      </w:tr>
      <w:tr>
        <w:trPr>
          <w:trHeight w:val="196"/>
        </w:trPr>
        <w:tc>
          <w:tcPr>
            <w:tcW w:w="750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21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60,912</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54,565</w:t>
            </w:r>
          </w:p>
        </w:tc>
      </w:tr>
      <w:tr>
        <w:trPr>
          <w:trHeight w:val="216"/>
        </w:trPr>
        <w:tc>
          <w:tcPr>
            <w:tcW w:w="7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2,193</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196"/>
        </w:trPr>
        <w:tc>
          <w:tcPr>
            <w:tcW w:w="7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1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63,105</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56,698</w:t>
            </w:r>
          </w:p>
        </w:tc>
      </w:tr>
      <w:tr>
        <w:trPr>
          <w:trHeight w:val="236"/>
        </w:trPr>
        <w:tc>
          <w:tcPr>
            <w:tcW w:w="7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21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831,849</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December 26,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27,</w:t>
            </w:r>
          </w:p>
        </w:tc>
      </w:tr>
      <w:tr>
        <w:trPr>
          <w:trHeight w:val="203"/>
        </w:trPr>
        <w:tc>
          <w:tcPr>
            <w:tcW w:w="6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8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69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8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2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98,754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102,629</w:t>
            </w: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28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87,519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91,309</w:t>
            </w: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16,009</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17,879</w:t>
            </w: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8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202,282</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211,817</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8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84,694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84,163</w:t>
            </w: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7,644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7,992</w:t>
            </w: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8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85,982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81,767</w:t>
            </w: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9,676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10,441</w:t>
            </w: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8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(12,274)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5,222</w:t>
            </w: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8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3,200</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3,167</w:t>
            </w: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8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178,922</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192,752</w:t>
            </w:r>
          </w:p>
        </w:tc>
      </w:tr>
      <w:tr>
        <w:trPr>
          <w:trHeight w:val="196"/>
        </w:trPr>
        <w:tc>
          <w:tcPr>
            <w:tcW w:w="6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8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1,754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1,743</w:t>
            </w: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8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25,114</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20,808</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8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(10,663)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(11,882)</w:t>
            </w: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1,027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23,830</w:t>
            </w: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8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8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3,072</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2,268</w:t>
            </w: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non-operating (expense) income, net</w:t>
            </w:r>
          </w:p>
        </w:tc>
        <w:tc>
          <w:tcPr>
            <w:tcW w:w="28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(6,564)</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1,906</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18,550</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22,714</w:t>
            </w:r>
          </w:p>
        </w:tc>
      </w:tr>
      <w:tr>
        <w:trPr>
          <w:trHeight w:val="203"/>
        </w:trPr>
        <w:tc>
          <w:tcPr>
            <w:tcW w:w="6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5,351</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6,311</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8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13,199</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16,403</w:t>
            </w:r>
          </w:p>
        </w:tc>
      </w:tr>
      <w:tr>
        <w:trPr>
          <w:trHeight w:val="203"/>
        </w:trPr>
        <w:tc>
          <w:tcPr>
            <w:tcW w:w="6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8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(541)</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86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12,658</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15,902</w:t>
            </w:r>
          </w:p>
        </w:tc>
      </w:tr>
      <w:tr>
        <w:trPr>
          <w:trHeight w:val="203"/>
        </w:trPr>
        <w:tc>
          <w:tcPr>
            <w:tcW w:w="6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28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(6,112)</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1,142</w:t>
            </w:r>
          </w:p>
        </w:tc>
      </w:tr>
      <w:tr>
        <w:trPr>
          <w:trHeight w:val="196"/>
        </w:trPr>
        <w:tc>
          <w:tcPr>
            <w:tcW w:w="6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8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6,546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17,044</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8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w:t>
            </w:r>
          </w:p>
        </w:tc>
      </w:tr>
      <w:tr>
        <w:trPr>
          <w:trHeight w:val="243"/>
        </w:trPr>
        <w:tc>
          <w:tcPr>
            <w:tcW w:w="69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8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2.17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9"/>
                <w:szCs w:val="19"/>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0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27, 2021</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(245,744)</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59</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258,063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42,187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54,565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12,658</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12,658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(8,174)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(8,174)</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2,062</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2,062</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26, 2021</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(233,086)</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257,863</w:t>
            </w:r>
          </w:p>
        </w:tc>
        <w:tc>
          <w:tcPr>
            <w:tcW w:w="16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36,075</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60,912</w:t>
            </w:r>
          </w:p>
        </w:tc>
      </w:tr>
      <w:tr>
        <w:trPr>
          <w:trHeight w:val="312"/>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2"/>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0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(268,529)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256,957</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(20,050)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15,902</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(252,627)</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257,122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(18,908)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December 26,</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27,</w:t>
            </w:r>
          </w:p>
        </w:tc>
      </w:tr>
      <w:tr>
        <w:trPr>
          <w:trHeight w:val="203"/>
        </w:trPr>
        <w:tc>
          <w:tcPr>
            <w:tcW w:w="7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8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2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13,199</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16,403</w:t>
            </w:r>
          </w:p>
        </w:tc>
      </w:tr>
      <w:tr>
        <w:trPr>
          <w:trHeight w:val="202"/>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9,676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10,441</w:t>
            </w:r>
          </w:p>
        </w:tc>
      </w:tr>
      <w:tr>
        <w:trPr>
          <w:trHeight w:val="203"/>
        </w:trPr>
        <w:tc>
          <w:tcPr>
            <w:tcW w:w="7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(1,027)</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(23,830)</w:t>
            </w: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7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186</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(12,274)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5,222</w:t>
            </w:r>
          </w:p>
        </w:tc>
      </w:tr>
      <w:tr>
        <w:trPr>
          <w:trHeight w:val="203"/>
        </w:trPr>
        <w:tc>
          <w:tcPr>
            <w:tcW w:w="7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383</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r>
      <w:tr>
        <w:trPr>
          <w:trHeight w:val="203"/>
        </w:trPr>
        <w:tc>
          <w:tcPr>
            <w:tcW w:w="788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assets</w:t>
            </w:r>
          </w:p>
        </w:tc>
        <w:tc>
          <w:tcPr>
            <w:tcW w:w="2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(8,519)</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(14,662)</w:t>
            </w:r>
          </w:p>
        </w:tc>
      </w:tr>
      <w:tr>
        <w:trPr>
          <w:trHeight w:val="203"/>
        </w:trPr>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1,085</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7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2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3,369</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7,205</w:t>
            </w:r>
          </w:p>
        </w:tc>
      </w:tr>
      <w:tr>
        <w:trPr>
          <w:trHeight w:val="203"/>
        </w:trPr>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(4,826)</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r>
      <w:tr>
        <w:trPr>
          <w:trHeight w:val="203"/>
        </w:trPr>
        <w:tc>
          <w:tcPr>
            <w:tcW w:w="7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2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2,427</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6,643</w:t>
            </w:r>
          </w:p>
        </w:tc>
      </w:tr>
      <w:tr>
        <w:trPr>
          <w:trHeight w:val="203"/>
        </w:trPr>
        <w:tc>
          <w:tcPr>
            <w:tcW w:w="788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20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(3,109)</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836</w:t>
            </w:r>
          </w:p>
        </w:tc>
      </w:tr>
      <w:tr>
        <w:trPr>
          <w:trHeight w:val="196"/>
        </w:trPr>
        <w:tc>
          <w:tcPr>
            <w:tcW w:w="7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570</w:t>
            </w: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18,916</w:t>
            </w:r>
          </w:p>
        </w:tc>
      </w:tr>
      <w:tr>
        <w:trPr>
          <w:trHeight w:val="196"/>
        </w:trPr>
        <w:tc>
          <w:tcPr>
            <w:tcW w:w="788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investing activities: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(1,777)</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(1,738)</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Proceeds from sales of assets</w:t>
            </w:r>
          </w:p>
        </w:tc>
        <w:tc>
          <w:tcPr>
            <w:tcW w:w="2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14,406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2,236</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greater (less) than earnings of TNI and MNI</w:t>
            </w:r>
          </w:p>
        </w:tc>
        <w:tc>
          <w:tcPr>
            <w:tcW w:w="2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(595)</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r>
      <w:tr>
        <w:trPr>
          <w:trHeight w:val="203"/>
        </w:trPr>
        <w:tc>
          <w:tcPr>
            <w:tcW w:w="7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(80)</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r>
      <w:tr>
        <w:trPr>
          <w:trHeight w:val="196"/>
        </w:trPr>
        <w:tc>
          <w:tcPr>
            <w:tcW w:w="7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(required for) investing activities</w:t>
            </w:r>
          </w:p>
        </w:tc>
        <w:tc>
          <w:tcPr>
            <w:tcW w:w="20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11,954</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w:t>
            </w:r>
          </w:p>
        </w:tc>
      </w:tr>
      <w:tr>
        <w:trPr>
          <w:trHeight w:val="196"/>
        </w:trPr>
        <w:tc>
          <w:tcPr>
            <w:tcW w:w="788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20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(20,062)</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(14,734)</w:t>
            </w:r>
          </w:p>
        </w:tc>
      </w:tr>
      <w:tr>
        <w:trPr>
          <w:trHeight w:val="203"/>
        </w:trPr>
        <w:tc>
          <w:tcPr>
            <w:tcW w:w="7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11</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196"/>
        </w:trPr>
        <w:tc>
          <w:tcPr>
            <w:tcW w:w="7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(20,051)</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(14,888)</w:t>
            </w:r>
          </w:p>
        </w:tc>
      </w:tr>
      <w:tr>
        <w:trPr>
          <w:trHeight w:val="196"/>
        </w:trPr>
        <w:tc>
          <w:tcPr>
            <w:tcW w:w="788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0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(7,527)</w:t>
            </w: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3,409</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7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26,112</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236"/>
        </w:trPr>
        <w:tc>
          <w:tcPr>
            <w:tcW w:w="788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18,585</w:t>
            </w:r>
          </w:p>
        </w:tc>
        <w:tc>
          <w:tcPr>
            <w:tcW w:w="13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37,142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8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ind w:left="4700" w:right="3300" w:hanging="4692"/>
        <w:spacing w:after="0" w:line="482"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26, 2021, and our results of operations and cash flows for the periods presented. The Consolidated Financial Statements should be read in conjunction with the Consolidated Financial Statements and Notes thereto included in the Company's 2021 Annual Report on Form 10-K.</w:t>
      </w:r>
    </w:p>
    <w:p>
      <w:pPr>
        <w:spacing w:after="0" w:line="191"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Company's fiscal year ends on the last Sunday in September. Fiscal year 2022 ends on September 25, 2022 and fiscal year 2021 ended September 26, 2021. Fiscal year 2022 and 2021 are 52-week years with 13 weeks in each quarter. Because of seasonal and other factors, the results of operations for the 13 weeks ended December 26, 2021, are not necessarily indicative of the results to be expected for the full year.</w:t>
      </w:r>
    </w:p>
    <w:p>
      <w:pPr>
        <w:spacing w:after="0" w:line="191"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“2022”, “2021” and the like refer to the fiscal years ended the last Sunday in September.</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(“TownNews.com”), our 50% interest in TNI Partners (“TNI”) and our 50% interest in Madison Newspapers, Inc. (“MNI”).</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83"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On March 16, 2020, the Company completed the acquisition of BH Media Group, Inc. and The Buffalo News, Inc. for a combined purchase price of $140,000,000 (collectively, the "Transactions").</w:t>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on the Company’s business and operating results in the near term. While vaccines have become widely available in the United States, the long-term impact of the COVID-19 pandemic remains uncertain and unpredictable as it will depend on the pace of vaccine distribution, government responses to future outbreaks, the spread of variants,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20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6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December 26,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27,</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3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60"/>
              <w:spacing w:after="0" w:line="202" w:lineRule="exact"/>
              <w:rPr>
                <w:sz w:val="20"/>
                <w:szCs w:val="20"/>
                <w:color w:val="auto"/>
              </w:rPr>
            </w:pPr>
            <w:r>
              <w:rPr>
                <w:rFonts w:ascii="Arial" w:cs="Arial" w:eastAsia="Arial" w:hAnsi="Arial"/>
                <w:sz w:val="18"/>
                <w:szCs w:val="18"/>
                <w:color w:val="auto"/>
              </w:rPr>
              <w:t>Print</w:t>
            </w:r>
          </w:p>
        </w:tc>
        <w:tc>
          <w:tcPr>
            <w:tcW w:w="35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55,970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66,614</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Digital</w:t>
            </w:r>
          </w:p>
        </w:tc>
        <w:tc>
          <w:tcPr>
            <w:tcW w:w="354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42,784</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36,015</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3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98,754</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102,629</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Print</w:t>
            </w:r>
          </w:p>
        </w:tc>
        <w:tc>
          <w:tcPr>
            <w:tcW w:w="35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79,628</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85,033</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Digital</w:t>
            </w:r>
          </w:p>
        </w:tc>
        <w:tc>
          <w:tcPr>
            <w:tcW w:w="35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7,891</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35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87,519</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91,309</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Print</w:t>
            </w:r>
          </w:p>
        </w:tc>
        <w:tc>
          <w:tcPr>
            <w:tcW w:w="3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11,385</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13,064</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Digital</w:t>
            </w:r>
          </w:p>
        </w:tc>
        <w:tc>
          <w:tcPr>
            <w:tcW w:w="354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4,624</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35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16,009</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35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202,282</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211,817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81" w:lineRule="exact"/>
        <w:rPr>
          <w:sz w:val="20"/>
          <w:szCs w:val="20"/>
          <w:color w:val="auto"/>
        </w:rPr>
      </w:pPr>
    </w:p>
    <w:p>
      <w:pPr>
        <w:ind w:left="660" w:right="280"/>
        <w:spacing w:after="0" w:line="261" w:lineRule="auto"/>
        <w:rPr>
          <w:sz w:val="20"/>
          <w:szCs w:val="20"/>
          <w:color w:val="auto"/>
        </w:rPr>
      </w:pPr>
      <w:r>
        <w:rPr>
          <w:rFonts w:ascii="Arial" w:cs="Arial" w:eastAsia="Arial" w:hAnsi="Arial"/>
          <w:sz w:val="17"/>
          <w:szCs w:val="17"/>
          <w:color w:val="auto"/>
        </w:rPr>
        <w:t>Total Digital Revenue in the prior year was reclassified to conform to the current year presentation. Total Digital Revenue is defined as digital advertising and marketing services revenue (including Amplified), digital-only subscription revenue and digital services revenue. Previously other digital subscription revenue was included. All periods have been restated for the reclassification.</w:t>
      </w:r>
    </w:p>
    <w:p>
      <w:pPr>
        <w:spacing w:after="0" w:line="154"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ectPr>
          <w:pgSz w:w="11900" w:h="16838" w:orient="portrait"/>
          <w:cols w:equalWidth="0" w:num="1">
            <w:col w:w="11320"/>
          </w:cols>
          <w:pgMar w:left="320" w:top="125" w:right="259" w:bottom="0" w:gutter="0" w:footer="0" w:header="0"/>
        </w:sectPr>
      </w:pP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9" w:name="page10"/>
    <w:bookmarkEnd w:id="9"/>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quarter ended December 26, 2021 that was included in the contract liability as of September 26, 2021 was $36,347,000.</w:t>
      </w:r>
    </w:p>
    <w:p>
      <w:pPr>
        <w:spacing w:after="0" w:line="185"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Accounts receivable, excluding allowance for credit losses was $80,375,000 and $ 71,644,000 as of December 26, 2021 and September 26, 2021, respectively. Allowance for credit losses was $7,182,000 and $6,574,000 as of December 26, 2021 and September 26, 2021, respectively.</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The vast majority of our contracts have original expected lengths of one year or less and revenue is earned at a rate and amount that corresponds directly with the value to the customer.</w:t>
      </w:r>
    </w:p>
    <w:p>
      <w:pPr>
        <w:spacing w:after="0" w:line="208" w:lineRule="exact"/>
        <w:rPr>
          <w:sz w:val="20"/>
          <w:szCs w:val="20"/>
          <w:color w:val="auto"/>
        </w:rPr>
      </w:pPr>
    </w:p>
    <w:p>
      <w:pPr>
        <w:ind w:left="660" w:right="6820" w:hanging="652"/>
        <w:spacing w:after="0" w:line="4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7"/>
        </w:trPr>
        <w:tc>
          <w:tcPr>
            <w:tcW w:w="558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right"/>
              <w:ind w:right="210"/>
              <w:spacing w:after="0" w:line="197" w:lineRule="exact"/>
              <w:rPr>
                <w:sz w:val="20"/>
                <w:szCs w:val="20"/>
                <w:color w:val="auto"/>
              </w:rPr>
            </w:pPr>
            <w:r>
              <w:rPr>
                <w:rFonts w:ascii="Arial" w:cs="Arial" w:eastAsia="Arial" w:hAnsi="Arial"/>
                <w:sz w:val="18"/>
                <w:szCs w:val="18"/>
                <w:color w:val="auto"/>
              </w:rPr>
              <w:t>December 26,</w:t>
            </w:r>
          </w:p>
        </w:tc>
        <w:tc>
          <w:tcPr>
            <w:tcW w:w="1500" w:type="dxa"/>
            <w:vAlign w:val="bottom"/>
            <w:tcBorders>
              <w:top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December 27,</w:t>
            </w:r>
          </w:p>
        </w:tc>
      </w:tr>
      <w:tr>
        <w:trPr>
          <w:trHeight w:val="203"/>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5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5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35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8,981</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9,400</w:t>
            </w:r>
          </w:p>
        </w:tc>
      </w:tr>
      <w:tr>
        <w:trPr>
          <w:trHeight w:val="203"/>
        </w:trPr>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35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6,465</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7,005</w:t>
            </w:r>
          </w:p>
        </w:tc>
      </w:tr>
      <w:tr>
        <w:trPr>
          <w:trHeight w:val="236"/>
        </w:trPr>
        <w:tc>
          <w:tcPr>
            <w:tcW w:w="5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35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2,516</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2,395</w:t>
            </w:r>
          </w:p>
        </w:tc>
      </w:tr>
      <w:tr>
        <w:trPr>
          <w:trHeight w:val="183"/>
        </w:trPr>
        <w:tc>
          <w:tcPr>
            <w:tcW w:w="558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358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1,258</w:t>
            </w:r>
          </w:p>
        </w:tc>
        <w:tc>
          <w:tcPr>
            <w:tcW w:w="150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1,198</w:t>
            </w:r>
          </w:p>
        </w:tc>
      </w:tr>
      <w:tr>
        <w:trPr>
          <w:trHeight w:val="203"/>
        </w:trPr>
        <w:tc>
          <w:tcPr>
            <w:tcW w:w="5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35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5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35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1,258</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1,198</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TNI makes periodic distributions of its earnings and for the quarter ended December 26, 2021 and December 27, 2020 we received $859,000 and $1,056,000 in distributions,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71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December 26,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27,</w:t>
            </w:r>
          </w:p>
        </w:tc>
      </w:tr>
      <w:tr>
        <w:trPr>
          <w:trHeight w:val="203"/>
        </w:trPr>
        <w:tc>
          <w:tcPr>
            <w:tcW w:w="7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0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12,195</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11,922</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Operating expenses, excluding restructuring costs, depreciation and amortization</w:t>
            </w:r>
          </w:p>
        </w:tc>
        <w:tc>
          <w:tcPr>
            <w:tcW w:w="20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10,834</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10,430</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20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170</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110</w:t>
            </w:r>
          </w:p>
        </w:tc>
      </w:tr>
      <w:tr>
        <w:trPr>
          <w:trHeight w:val="236"/>
        </w:trPr>
        <w:tc>
          <w:tcPr>
            <w:tcW w:w="7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0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1,191</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1,276</w:t>
            </w:r>
          </w:p>
        </w:tc>
      </w:tr>
      <w:tr>
        <w:trPr>
          <w:trHeight w:val="183"/>
        </w:trPr>
        <w:tc>
          <w:tcPr>
            <w:tcW w:w="71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206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rPr>
              <w:t>991</w:t>
            </w:r>
          </w:p>
        </w:tc>
        <w:tc>
          <w:tcPr>
            <w:tcW w:w="15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1,089</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2060" w:type="dxa"/>
            <w:vAlign w:val="bottom"/>
            <w:tcBorders>
              <w:bottom w:val="single" w:sz="8" w:color="auto"/>
            </w:tcBorders>
            <w:shd w:val="clear" w:color="auto" w:fill="CCEEFF"/>
          </w:tcPr>
          <w:p>
            <w:pPr>
              <w:jc w:val="right"/>
              <w:ind w:right="210"/>
              <w:spacing w:after="0" w:line="183" w:lineRule="exact"/>
              <w:rPr>
                <w:sz w:val="20"/>
                <w:szCs w:val="20"/>
                <w:color w:val="auto"/>
              </w:rPr>
            </w:pPr>
            <w:r>
              <w:rPr>
                <w:rFonts w:ascii="Arial" w:cs="Arial" w:eastAsia="Arial" w:hAnsi="Arial"/>
                <w:sz w:val="18"/>
                <w:szCs w:val="18"/>
                <w:color w:val="auto"/>
              </w:rPr>
              <w:t>496</w:t>
            </w:r>
          </w:p>
        </w:tc>
        <w:tc>
          <w:tcPr>
            <w:tcW w:w="150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545</w:t>
            </w: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MNI makes periodic distributions of its earnings and in the quarter ended December 26, 2021 we received dividends of $300,000. No dividends were received in the quarter ended December 27, 2020.</w:t>
      </w: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607"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4</w:t>
            </w:r>
          </w:p>
        </w:tc>
        <w:tc>
          <w:tcPr>
            <w:tcW w:w="5880" w:type="dxa"/>
            <w:vAlign w:val="bottom"/>
          </w:tcPr>
          <w:p>
            <w:pPr>
              <w:spacing w:after="0"/>
              <w:rPr>
                <w:sz w:val="20"/>
                <w:szCs w:val="20"/>
                <w:color w:val="auto"/>
              </w:rPr>
            </w:pPr>
            <w:r>
              <w:rPr>
                <w:rFonts w:ascii="Arial" w:cs="Arial" w:eastAsia="Arial" w:hAnsi="Arial"/>
                <w:sz w:val="18"/>
                <w:szCs w:val="18"/>
                <w:b w:val="1"/>
                <w:bCs w:val="1"/>
                <w:color w:val="auto"/>
              </w:rPr>
              <w:t>GOODWILL AND OTHER INTANGIBLE ASSETS</w:t>
            </w:r>
          </w:p>
        </w:tc>
        <w:tc>
          <w:tcPr>
            <w:tcW w:w="3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Identified intangible assets consist of the following:</w:t>
            </w:r>
          </w:p>
        </w:tc>
        <w:tc>
          <w:tcPr>
            <w:tcW w:w="3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December 26,</w:t>
            </w:r>
          </w:p>
        </w:tc>
        <w:tc>
          <w:tcPr>
            <w:tcW w:w="15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26,</w:t>
            </w:r>
          </w:p>
        </w:tc>
      </w:tr>
      <w:tr>
        <w:trPr>
          <w:trHeight w:val="203"/>
        </w:trPr>
        <w:tc>
          <w:tcPr>
            <w:tcW w:w="660" w:type="dxa"/>
            <w:vAlign w:val="bottom"/>
          </w:tcPr>
          <w:p>
            <w:pPr>
              <w:spacing w:after="0"/>
              <w:rPr>
                <w:sz w:val="17"/>
                <w:szCs w:val="17"/>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2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r>
      <w:tr>
        <w:trPr>
          <w:trHeight w:val="196"/>
        </w:trPr>
        <w:tc>
          <w:tcPr>
            <w:tcW w:w="6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end of period</w:t>
            </w:r>
          </w:p>
        </w:tc>
        <w:tc>
          <w:tcPr>
            <w:tcW w:w="3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330,204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6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3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39,849</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39,672</w:t>
            </w:r>
          </w:p>
        </w:tc>
      </w:tr>
      <w:tr>
        <w:trPr>
          <w:trHeight w:val="203"/>
        </w:trPr>
        <w:tc>
          <w:tcPr>
            <w:tcW w:w="66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574,349</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774,242</w:t>
            </w:r>
          </w:p>
        </w:tc>
      </w:tr>
      <w:tr>
        <w:trPr>
          <w:trHeight w:val="203"/>
        </w:trPr>
        <w:tc>
          <w:tcPr>
            <w:tcW w:w="660" w:type="dxa"/>
            <w:vAlign w:val="bottom"/>
          </w:tcPr>
          <w:p>
            <w:pPr>
              <w:spacing w:after="0"/>
              <w:rPr>
                <w:sz w:val="17"/>
                <w:szCs w:val="17"/>
                <w:color w:val="auto"/>
              </w:rPr>
            </w:pPr>
          </w:p>
        </w:tc>
        <w:tc>
          <w:tcPr>
            <w:tcW w:w="58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2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(463,297)</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(657,243)</w:t>
            </w:r>
          </w:p>
        </w:tc>
      </w:tr>
      <w:tr>
        <w:trPr>
          <w:trHeight w:val="196"/>
        </w:trPr>
        <w:tc>
          <w:tcPr>
            <w:tcW w:w="660" w:type="dxa"/>
            <w:vAlign w:val="bottom"/>
          </w:tcPr>
          <w:p>
            <w:pPr>
              <w:spacing w:after="0"/>
              <w:rPr>
                <w:sz w:val="17"/>
                <w:szCs w:val="17"/>
                <w:color w:val="auto"/>
              </w:rPr>
            </w:pPr>
          </w:p>
        </w:tc>
        <w:tc>
          <w:tcPr>
            <w:tcW w:w="5880" w:type="dxa"/>
            <w:vAlign w:val="bottom"/>
            <w:tcBorders>
              <w:bottom w:val="single" w:sz="8" w:color="auto"/>
            </w:tcBorders>
            <w:shd w:val="clear" w:color="auto" w:fill="CCEEFF"/>
          </w:tcPr>
          <w:p>
            <w:pPr>
              <w:spacing w:after="0"/>
              <w:rPr>
                <w:sz w:val="17"/>
                <w:szCs w:val="17"/>
                <w:color w:val="auto"/>
              </w:rPr>
            </w:pPr>
          </w:p>
        </w:tc>
        <w:tc>
          <w:tcPr>
            <w:tcW w:w="32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111,052</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116,999</w:t>
            </w:r>
          </w:p>
        </w:tc>
      </w:tr>
      <w:tr>
        <w:trPr>
          <w:trHeight w:val="196"/>
        </w:trPr>
        <w:tc>
          <w:tcPr>
            <w:tcW w:w="660" w:type="dxa"/>
            <w:vAlign w:val="bottom"/>
          </w:tcPr>
          <w:p>
            <w:pPr>
              <w:spacing w:after="0"/>
              <w:rPr>
                <w:sz w:val="17"/>
                <w:szCs w:val="17"/>
                <w:color w:val="auto"/>
              </w:rPr>
            </w:pPr>
          </w:p>
        </w:tc>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intangibles, net</w:t>
            </w:r>
          </w:p>
        </w:tc>
        <w:tc>
          <w:tcPr>
            <w:tcW w:w="3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481,105</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486,875</w:t>
            </w:r>
          </w:p>
        </w:tc>
      </w:tr>
      <w:tr>
        <w:trPr>
          <w:trHeight w:val="20"/>
        </w:trPr>
        <w:tc>
          <w:tcPr>
            <w:tcW w:w="66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13.2 years.</w:t>
      </w:r>
    </w:p>
    <w:p>
      <w:pPr>
        <w:spacing w:after="0" w:line="21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has debt consisting of a single 25-year term loan with BH Finance LLC (“BH Finance”), in an aggregate principal balance of $462,554,000 at a 9% annual rate and matures on March 16, 2045 (referred to herein as “Credit Agreement” and “Term Loan”). At December 26, 2021, based on market quotations, the fair value approximates carrying value. This represents a level 2 fair value measurement.</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26, 2021, we made principal debt payments of $20,062,000. For the quarter, payments consisted of $10,450,000 from the sale of non-core assets, $6,112,000 from September 26, 2021 excess cash flow, and $3,500,000 in voluntary prepayments. All payments were made at par. Future payments are contingent on the Company's ability to generate future excess cash flow, as defined in the Credit Agreement. As of December 26, 2021 there was no excess cash flow payment due (as such term is defined in the Term Loan).</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entered into a Warrant Agreement dated as of March 31, 2014 (the “Warrant Agreement”). Under the Warrant Agreement, certain warrant holders received warrants to purchase, in cash, an initial aggregate of 600,000 shares of Common Stock, subject to adjustment pursuant to anti-dilution provisions (the “Warrants”). The Warrants can be exercised at a price of $41.90 per share and expire in March 31, 2022.</w:t>
      </w:r>
    </w:p>
    <w:p>
      <w:pPr>
        <w:spacing w:after="0" w:line="191"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The initial fair value of the Warrants was $16,930,000. We re-measure the fair value of the liability each reporting period using the Black-Scholes option pricing model. The change in value of $1,929,000 is reported as expense in other, net non-operating income (expense).</w:t>
      </w:r>
    </w:p>
    <w:p>
      <w:pPr>
        <w:spacing w:after="0" w:line="1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fair value of Warrants at December 26, 2021, and September 26, 2021 , were $2,000,000 and $71,000 , respectively.</w:t>
      </w:r>
    </w:p>
    <w:p>
      <w:pPr>
        <w:spacing w:after="0" w:line="198"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have several defined benefit pension plans that together cover selected employees, including plans established under collective bargaining agreements. At the end of September two of seven plans had future benefits under the plan frozen and no new participants are permitted. Additionally, we provide retiree medical and life insurance benefits under postretirement plans at several of our operating locations. Through December 26, 2021, our liability and related expense for benefits under the plans are recorded over the service period of employees based upon annual actuarial calculations.</w:t>
      </w:r>
    </w:p>
    <w:p>
      <w:pPr>
        <w:spacing w:after="0" w:line="188"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26, 2021 we notified certain participants in our defined benefit plans of changes to be made to the plans. The Company froze future benefits for an additional four of the defined benefit plans. The freeze of future benefits resulted in a non-cash curtailment gain of $1,027,000 related to the four plans. In connection with the freeze the Company provided certain plan enhancements that resulted in an increase to our net pension liability and a decrease to Accumulated Other Comprehensive income of $6,507,000. Additionally, the Company merged the six frozen plans into one defined benefit plan effective in the second quarter of fiscal 2022.</w:t>
      </w: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46" w:right="259" w:bottom="1440" w:gutter="0" w:footer="0" w:header="0"/>
        </w:sectPr>
      </w:pPr>
    </w:p>
    <w:bookmarkStart w:id="11" w:name="page12"/>
    <w:bookmarkEnd w:id="11"/>
    <w:p>
      <w:pPr>
        <w:jc w:val="both"/>
        <w:ind w:left="660" w:right="80"/>
        <w:spacing w:after="0" w:line="238" w:lineRule="auto"/>
        <w:rPr>
          <w:sz w:val="20"/>
          <w:szCs w:val="20"/>
          <w:color w:val="auto"/>
        </w:rPr>
      </w:pPr>
      <w:r>
        <w:rPr>
          <w:rFonts w:ascii="Arial" w:cs="Arial" w:eastAsia="Arial" w:hAnsi="Arial"/>
          <w:sz w:val="18"/>
          <w:szCs w:val="18"/>
          <w:color w:val="auto"/>
        </w:rPr>
        <w:t>During the quarter ended December 27, 2020 we notified certain participants in one of our post-employment benefit plans of changes to be made to the plans, including elimination of coverage for certain participants. The changes resulted in a non-cash curtailment gain of $23,830,000 and a reduction in our benefit obligation by $23,830,000. This is recorded within Curtailment gain and Postretirement and postemployment benefit obligations.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126365</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PLANS</w:t>
      </w:r>
    </w:p>
    <w:tbl>
      <w:tblPr>
        <w:tblLayout w:type="fixed"/>
        <w:tblInd w:w="660" w:type="dxa"/>
        <w:tblCellMar>
          <w:top w:w="0" w:type="dxa"/>
          <w:left w:w="0" w:type="dxa"/>
          <w:bottom w:w="0" w:type="dxa"/>
          <w:right w:w="0" w:type="dxa"/>
        </w:tblCellMar>
      </w:tblPr>
      <w:tr>
        <w:trPr>
          <w:trHeight w:val="195"/>
        </w:trPr>
        <w:tc>
          <w:tcPr>
            <w:tcW w:w="58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December 26,</w:t>
            </w:r>
          </w:p>
        </w:tc>
        <w:tc>
          <w:tcPr>
            <w:tcW w:w="1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December 27,</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3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1,936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(4,536)</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Amortization of net (gain) loss</w:t>
            </w:r>
          </w:p>
        </w:tc>
        <w:tc>
          <w:tcPr>
            <w:tcW w:w="3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(1,259)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Curtailment gain</w:t>
            </w:r>
          </w:p>
        </w:tc>
        <w:tc>
          <w:tcPr>
            <w:tcW w:w="33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(1,027)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33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(4,430)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December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27,</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33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(263)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3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(249)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33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(23,830)</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33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(562)</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the quarter ended December 26, 2021 we had no required contributions to our pension plans. In the quarter ended December 27, 2020 we contributed $400,000 to our pension plans. We have no required contributions to our pension plans for 2022 and therefore do not expect to make contributions to our pension trust during the remainder of fiscal 2022.</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ended December 27, 2020, we withdrew from a multiemployer pension plan and recorded a $12,310,000 charge.</w:t>
      </w:r>
    </w:p>
    <w:p>
      <w:pPr>
        <w:ind w:left="660"/>
        <w:spacing w:after="0"/>
        <w:rPr>
          <w:sz w:val="20"/>
          <w:szCs w:val="20"/>
          <w:color w:val="auto"/>
        </w:rPr>
      </w:pPr>
      <w:r>
        <w:rPr>
          <w:rFonts w:ascii="Arial" w:cs="Arial" w:eastAsia="Arial" w:hAnsi="Arial"/>
          <w:sz w:val="18"/>
          <w:szCs w:val="18"/>
          <w:color w:val="auto"/>
        </w:rPr>
        <w:t>The withdrawal liability is recorded in Warrants and other and will be paid over 20 years. The first payment was made March 1, 2021.</w:t>
      </w:r>
    </w:p>
    <w:p>
      <w:pPr>
        <w:spacing w:after="0" w:line="21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expense of $5,351,000 related to income before taxes of $18,550,000 for the Quarter ended December 26, 2021. For the Quarter ended December 27, 2020, we recorded $6,311,000 in income tax expense related to income before taxes of $22,714,000. The effective income tax rates for the Quarter ended December 26, 2021 was 28.9%. The effective income tax rate for the Quarter ended December 27, 2020 was 27.8%.</w:t>
      </w:r>
    </w:p>
    <w:p>
      <w:pPr>
        <w:spacing w:after="0" w:line="191"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and mark-to-market adjustments to value stock warrants.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2014.</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625" w:right="259" w:bottom="1440" w:gutter="0" w:footer="0" w:header="0"/>
        </w:sectPr>
      </w:pPr>
    </w:p>
    <w:bookmarkStart w:id="12" w:name="page13"/>
    <w:bookmarkEnd w:id="12"/>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0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December 26,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December 27,</w:t>
            </w:r>
          </w:p>
        </w:tc>
      </w:tr>
      <w:tr>
        <w:trPr>
          <w:trHeight w:val="203"/>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31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6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3"/>
        </w:trPr>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31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12,658</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r>
      <w:tr>
        <w:trPr>
          <w:trHeight w:val="183"/>
        </w:trPr>
        <w:tc>
          <w:tcPr>
            <w:tcW w:w="600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318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5,885</w:t>
            </w:r>
          </w:p>
        </w:tc>
        <w:tc>
          <w:tcPr>
            <w:tcW w:w="14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5,845</w:t>
            </w:r>
          </w:p>
        </w:tc>
      </w:tr>
      <w:tr>
        <w:trPr>
          <w:trHeight w:val="203"/>
        </w:trPr>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31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r>
      <w:tr>
        <w:trPr>
          <w:trHeight w:val="196"/>
        </w:trPr>
        <w:tc>
          <w:tcPr>
            <w:tcW w:w="600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318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5,726</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5,690</w:t>
            </w:r>
          </w:p>
        </w:tc>
      </w:tr>
      <w:tr>
        <w:trPr>
          <w:trHeight w:val="203"/>
        </w:trPr>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31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118</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w:t>
            </w:r>
          </w:p>
        </w:tc>
      </w:tr>
      <w:tr>
        <w:trPr>
          <w:trHeight w:val="196"/>
        </w:trPr>
        <w:tc>
          <w:tcPr>
            <w:tcW w:w="6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31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5,844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5,732</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6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3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3"/>
        </w:trPr>
        <w:tc>
          <w:tcPr>
            <w:tcW w:w="600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3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w:t>
            </w:r>
          </w:p>
        </w:tc>
      </w:tr>
      <w:tr>
        <w:trPr>
          <w:trHeight w:val="203"/>
        </w:trPr>
        <w:tc>
          <w:tcPr>
            <w:tcW w:w="60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31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2.17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2.77</w:t>
            </w:r>
          </w:p>
        </w:tc>
      </w:tr>
    </w:tbl>
    <w:p>
      <w:pPr>
        <w:spacing w:after="0" w:line="202"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For the quarter ended December 26, 2021 and December 27, 2020, 600,000 and 641,300 shares were not considered in the computation of diluted earnings per common share because their inclusion would result in an anti-dilutive effect on per share amounts.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On November 24, 2021, our Board of Directors adopted a stockholder rights plan (the “Rights Agreement”). Pursuant to the Rights Agreement, on November 24, 2021, our Board of Directors declared a dividend of one preferred share purchase right (a “Right”), payable on December 6, 2021, for each share of our Common Stock outstanding to the stockholders of record on that date. Each Right entitles the registered holder to purchase from the Company one-thousandth of a share of Series B Participating Convertible Preferred Stock, without par value (the “Preferred Shares”), of the Company at a price of $120.00 per one one-thousandth of a Preferred Share represented by a Right, subject to adjustment.</w:t>
      </w:r>
    </w:p>
    <w:p>
      <w:pPr>
        <w:spacing w:after="0" w:line="205"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10% (or 20% in the case of certain passive investors)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November 23, 2022,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0" w:lineRule="exact"/>
        <w:rPr>
          <w:sz w:val="20"/>
          <w:szCs w:val="20"/>
          <w:color w:val="auto"/>
        </w:rPr>
      </w:pPr>
    </w:p>
    <w:p>
      <w:pPr>
        <w:spacing w:after="0" w:line="212" w:lineRule="exact"/>
        <w:rPr>
          <w:sz w:val="20"/>
          <w:szCs w:val="20"/>
          <w:color w:val="auto"/>
        </w:rPr>
      </w:pPr>
    </w:p>
    <w:p>
      <w:pPr>
        <w:ind w:left="660" w:right="6540" w:hanging="652"/>
        <w:spacing w:after="0" w:line="482"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603" w:right="259" w:bottom="1440" w:gutter="0" w:footer="0" w:header="0"/>
        </w:sectPr>
      </w:pPr>
    </w:p>
    <w:bookmarkStart w:id="13" w:name="page14"/>
    <w:bookmarkEnd w:id="13"/>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ended December 26, 2021. This discussion should be read in conjunction with the Consolidated Financial Statements and related Notes thereto, included herein, and our 2021 Annual Report on Form 10-K.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in the markets we serve with rapidly growing digital subscription and advertising platforms.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98" w:lineRule="exact"/>
        <w:rPr>
          <w:sz w:val="20"/>
          <w:szCs w:val="20"/>
          <w:color w:val="auto"/>
        </w:rPr>
      </w:pPr>
    </w:p>
    <w:p>
      <w:pPr>
        <w:ind w:left="660" w:right="20" w:hanging="328"/>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47 million monthly unique visitors, in the first quarter of December 2021 with 376 million page views and 95 million visits.</w:t>
      </w:r>
    </w:p>
    <w:p>
      <w:pPr>
        <w:spacing w:after="0" w:line="183"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with estimated readership totaling three million. Digital only subscribers totaled approximately 450,000, a 57% increase over the prior year.</w:t>
      </w:r>
    </w:p>
    <w:p>
      <w:pPr>
        <w:spacing w:after="0" w:line="3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provides state-of-the-art web hosting, content management services and video management services to nearly 2,200 other media organizations including broadcast.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 focused marketing solutions company. Our focus is on the local market - including local news and information, local advertising and marketing services to top local accounts, and digital services to local content curators. To align with the core strength of our Company, our post-pandemic operating strategy is locally focused around three pillars:</w:t>
      </w:r>
    </w:p>
    <w:p>
      <w:pPr>
        <w:spacing w:after="0" w:line="191"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digital subscription base through audience growth and continued conversion of our massive digital audiences.</w:t>
      </w:r>
    </w:p>
    <w:p>
      <w:pPr>
        <w:spacing w:after="0" w:line="198" w:lineRule="exact"/>
        <w:rPr>
          <w:rFonts w:ascii="Arial" w:cs="Arial" w:eastAsia="Arial" w:hAnsi="Arial"/>
          <w:sz w:val="18"/>
          <w:szCs w:val="18"/>
          <w:color w:val="auto"/>
        </w:rPr>
      </w:pPr>
    </w:p>
    <w:p>
      <w:pPr>
        <w:jc w:val="both"/>
        <w:ind w:left="460" w:right="18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Lee's in-house Amplified Digital Agency that will enable advertisers to leverage our vast data-rich digital audiences and reach consumers in new ways.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December 26, 2021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December</w:t>
            </w:r>
          </w:p>
        </w:tc>
        <w:tc>
          <w:tcPr>
            <w:tcW w:w="1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December</w:t>
            </w:r>
          </w:p>
        </w:tc>
        <w:tc>
          <w:tcPr>
            <w:tcW w:w="1060" w:type="dxa"/>
            <w:vAlign w:val="bottom"/>
            <w:tcBorders>
              <w:top w:val="single" w:sz="8" w:color="auto"/>
            </w:tcBorders>
          </w:tcPr>
          <w:p>
            <w:pPr>
              <w:spacing w:after="0"/>
              <w:rPr>
                <w:sz w:val="18"/>
                <w:szCs w:val="18"/>
                <w:color w:val="auto"/>
              </w:rPr>
            </w:pPr>
          </w:p>
        </w:tc>
      </w:tr>
      <w:tr>
        <w:trPr>
          <w:trHeight w:val="203"/>
        </w:trPr>
        <w:tc>
          <w:tcPr>
            <w:tcW w:w="6540" w:type="dxa"/>
            <w:vAlign w:val="bottom"/>
          </w:tcPr>
          <w:p>
            <w:pPr>
              <w:spacing w:after="0"/>
              <w:rPr>
                <w:sz w:val="17"/>
                <w:szCs w:val="17"/>
                <w:color w:val="auto"/>
              </w:rPr>
            </w:pPr>
          </w:p>
        </w:tc>
        <w:tc>
          <w:tcPr>
            <w:tcW w:w="22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26,</w:t>
            </w:r>
          </w:p>
        </w:tc>
        <w:tc>
          <w:tcPr>
            <w:tcW w:w="14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27,</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Percent</w:t>
            </w:r>
          </w:p>
        </w:tc>
      </w:tr>
      <w:tr>
        <w:trPr>
          <w:trHeight w:val="203"/>
        </w:trPr>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2021</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65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Print</w:t>
            </w:r>
          </w:p>
        </w:tc>
        <w:tc>
          <w:tcPr>
            <w:tcW w:w="2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55,970</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66,614</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r>
      <w:tr>
        <w:trPr>
          <w:trHeight w:val="202"/>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42,784</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36,015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18.8</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98,754</w:t>
            </w:r>
          </w:p>
        </w:tc>
        <w:tc>
          <w:tcPr>
            <w:tcW w:w="14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102,629</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5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Print</w:t>
            </w:r>
          </w:p>
        </w:tc>
        <w:tc>
          <w:tcPr>
            <w:tcW w:w="220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79,628</w:t>
            </w:r>
          </w:p>
        </w:tc>
        <w:tc>
          <w:tcPr>
            <w:tcW w:w="14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85,033</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7,891</w:t>
            </w:r>
          </w:p>
        </w:tc>
        <w:tc>
          <w:tcPr>
            <w:tcW w:w="14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6,276</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25.7</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2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87,519</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91,309</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540" w:type="dxa"/>
            <w:vAlign w:val="bottom"/>
          </w:tcPr>
          <w:p>
            <w:pPr>
              <w:ind w:left="180"/>
              <w:spacing w:after="0" w:line="196" w:lineRule="exact"/>
              <w:rPr>
                <w:sz w:val="20"/>
                <w:szCs w:val="20"/>
                <w:color w:val="auto"/>
              </w:rPr>
            </w:pPr>
            <w:r>
              <w:rPr>
                <w:rFonts w:ascii="Arial" w:cs="Arial" w:eastAsia="Arial" w:hAnsi="Arial"/>
                <w:sz w:val="18"/>
                <w:szCs w:val="18"/>
                <w:color w:val="auto"/>
              </w:rPr>
              <w:t>Print</w:t>
            </w:r>
          </w:p>
        </w:tc>
        <w:tc>
          <w:tcPr>
            <w:tcW w:w="22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11,385</w:t>
            </w: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13,064</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3"/>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4,624</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4,815</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16,009</w:t>
            </w:r>
          </w:p>
        </w:tc>
        <w:tc>
          <w:tcPr>
            <w:tcW w:w="14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17,879</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2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202,282</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211,817</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2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84,694</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84,163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0.6</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7,644</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7,992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2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85,982</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81,767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9,676</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10,441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2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(12,274)</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5,222</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2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3,200</w:t>
            </w:r>
          </w:p>
        </w:tc>
        <w:tc>
          <w:tcPr>
            <w:tcW w:w="14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3,167</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178,922</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192,752</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9"/>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2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1,754</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1,743</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2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25,114</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20,808</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20.7</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(10,663)</w:t>
            </w:r>
          </w:p>
        </w:tc>
        <w:tc>
          <w:tcPr>
            <w:tcW w:w="14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(11,882)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1,027</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23,830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2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(12,310)</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2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3,072</w:t>
            </w:r>
          </w:p>
        </w:tc>
        <w:tc>
          <w:tcPr>
            <w:tcW w:w="14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2,268</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35.4</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2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(6,564)</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1,906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2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18,550</w:t>
            </w: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22,714</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(18.3)</w:t>
            </w:r>
          </w:p>
        </w:tc>
      </w:tr>
      <w:tr>
        <w:trPr>
          <w:trHeight w:val="20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5,351</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6,311</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2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13,199</w:t>
            </w: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16,403</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(19.5)</w:t>
            </w:r>
          </w:p>
        </w:tc>
      </w:tr>
      <w:tr>
        <w:trPr>
          <w:trHeight w:val="20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2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(541)</w:t>
            </w:r>
          </w:p>
        </w:tc>
        <w:tc>
          <w:tcPr>
            <w:tcW w:w="14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(501)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12,658</w:t>
            </w:r>
          </w:p>
        </w:tc>
        <w:tc>
          <w:tcPr>
            <w:tcW w:w="14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15,902</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income, net of income taxes</w:t>
            </w:r>
          </w:p>
        </w:tc>
        <w:tc>
          <w:tcPr>
            <w:tcW w:w="22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(6,112)</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1,142</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2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6,546</w:t>
            </w:r>
          </w:p>
        </w:tc>
        <w:tc>
          <w:tcPr>
            <w:tcW w:w="14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17,044</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w:t>
            </w:r>
          </w:p>
        </w:tc>
        <w:tc>
          <w:tcPr>
            <w:tcW w:w="2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2.21</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2.79</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203"/>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2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2.17</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2.77</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-5194300</wp:posOffset>
            </wp:positionV>
            <wp:extent cx="71323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References to the “2022 Quarter” refer to the 13 weeks ended December 26, 2021. Similarly, references to the “2021 Quarter” refer to the 13 weeks ended December 27, 2020.</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$202,282,000 in the 2022 Quarter, down $9,535,000, or 4.5%, compared to the prior year.</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$98,754,000 in the 2022 Quarter, down 3.8% compared to the prior year. Print advertising revenues were $55,970,000 in the 2022 Quarter, down 16.0% compared to the prior year due to continued secular declines in demand for print advertising. Digital advertising and marketing services totaled $42,784,000 in the 2022 Quarter, up 18.8% compared to the prior year. These gains resulted from in an increase in Amplified revenue and an increase in advertising on our owned and operated sites. Digital advertising and marketing services represented 43.3% of the 2022 Quarter total advertising and marketing services revenue, compared to 35% in the same period last year.</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totaled $87,519,000 in the 2022 Quarter, down 4.2% compared to the 2021 Quarter. The growth in digital only subscribers and selective price increases on our full access subscriptions, were partially offset by a decline in full access volume, consistent with historical and industry trends. Digital only subscribers grew 57% since the 2021 Quarter and now total 450,000.</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which primarily consists of commercial printing revenue and digital services from TownNews, decreased $1,870,000, or 10.5%, in the 2022 Quarter compared to the 2021 Quarter. Digital services revenue totaled $4,624,000 in the 2022 Quarter, a 4.0% decrease compared to the 2021 Quarter. Commercial printing revenue totaled $5,723,000 in the 2022 Quarter, a 15.2% decrease compared to the 2021 Quarter primarily driven by the continued downward trend in traditional print product demand.</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$55,299,000 in the 2022 Quarter, an increase of 17.4% over the 2021 Quarter, and represented 27.3% of our total operating revenue in the 2022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$11,000 in the 2022 Quarter.</w:t>
      </w:r>
    </w:p>
    <w:p>
      <w:pPr>
        <w:spacing w:after="0" w:line="17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operating expenses were $178,922,000 in the 2022 Quarter, a 7.2% decrease compared to the 2021 Quarter. Operating expenses include compensation expense, newsprint and ink, other operating expenses, depreciation, amortization, restructuring and other expenses, assets gain (loss) on sales, and impairments. Cash Costs were $178,320,000, a 2.5% increase compared to the 2021 Quarter.</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$531,000 in the 2022 Quarter, or 0.6%, compared to the 2021 Quarter due to investments in digital talent and increasing average compensation levels partially offset by reductions in FTE's due to continued business transformation efforts.</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Newsprint and ink costs decreased $348,000 in the 2022 Quarter, or 4.4%, compared to the 2021 Quarter. The decrease is attributable to declines in newsprint volumes offset by higher newsprint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$4,215,000 in the 2022 Quarter, or 5.2%, compared to the 2021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Restructuring costs and other totaled $3,200,000 and $3,167,000 in the 2022 Quarter and 2021 Quarter, respectively. These costs relate to costs associated with the hostile takeover attempt in November 2021 in the 2022 Quarter. Restructuring costs in the 2021 Quarter are predominately severance related to our ongoing business transformation.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decreased $765,000, or 7.3%, in the 2022 Quarter.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(gain) loss on sales, impairments and other, was a net gain of $12,274,000 in the 2022 Quarter compared to a net loss of $5,222,000 in the 2021 Quarter. The gains and losses in the 2022 Quarter and in the 2021 Quarter were the result of the disposition of non-core assets, including real estate.</w:t>
      </w:r>
    </w:p>
    <w:p>
      <w:pPr>
        <w:spacing w:after="0" w:line="189" w:lineRule="exact"/>
        <w:rPr>
          <w:sz w:val="20"/>
          <w:szCs w:val="20"/>
          <w:color w:val="auto"/>
        </w:rPr>
      </w:pPr>
    </w:p>
    <w:p>
      <w:pPr>
        <w:jc w:val="center"/>
        <w:ind w:right="380"/>
        <w:spacing w:after="0" w:line="469" w:lineRule="auto"/>
        <w:rPr>
          <w:sz w:val="20"/>
          <w:szCs w:val="20"/>
          <w:color w:val="auto"/>
        </w:rPr>
      </w:pPr>
      <w:r>
        <w:rPr>
          <w:rFonts w:ascii="Arial" w:cs="Arial" w:eastAsia="Arial" w:hAnsi="Arial"/>
          <w:sz w:val="18"/>
          <w:szCs w:val="18"/>
          <w:color w:val="auto"/>
        </w:rPr>
        <w:t xml:space="preserve">The factors noted above resulted in operating income of $25,114,000 in the 2022 Quarter compared to $20,808,000 in the 2021 Quarter. </w:t>
      </w:r>
      <w:r>
        <w:rPr>
          <w:rFonts w:ascii="Arial" w:cs="Arial" w:eastAsia="Arial" w:hAnsi="Arial"/>
          <w:sz w:val="18"/>
          <w:szCs w:val="18"/>
          <w:b w:val="1"/>
          <w:bCs w:val="1"/>
          <w:color w:val="auto"/>
        </w:rPr>
        <w:t>Non-operating Income and Expense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decreased $1,219,000, or 10.3%, to $10,663,000 in the 2022 Quarter, compared to the same period last year. The decrease was due to a lower outstanding balance on our Term Loan. Debt has been reduced by $113,400,000 million since our refinancing in March 2020. Our weighted average cost of debt was 9.0% at the end of the 2022 Quarter and 2021 Quarter.</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$4,448,000 periodic pension and other postretirement benefits in the 2022 Quarter compared to $2,343,000 in the 2021 Quarter. We recorded non-operating expense of $1,929,000 in the 2022 Quarter and non-operating income of $116,000 in the 2021 Quarter, related to the changes in the value of the Warrants.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a non-cash curtailment gain of $ 1,027,000 in the 2022 Quarter as a result of freezing certain pension plans. We recognized a non-cash curtailment gain of $23,830,000 and a reduction in our benefit obligation in the 2021 Quarter by eliminating post-retirement medical coverage for certain employees.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recognized pension withdrawal costs in the 2021 Quarter of $12,310,000 in connection with the withdrawal from a pension plan that covered certain employees. This withdrawal liability will be paid in equal quarterly installments over the next 20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expense of $5,351,000, or 28.8% of pretax income in the 2022 Quarter. In the 2021 Quarter, we recognized an income tax expense of $6,311,000, or 27.8%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income was $13,199,000 and diluted earnings per share were $ 2.17 for the 2022 Quarter compared to net income of $16,403,000 and diluted earnings per share of $2.77 for the 2021 Quarter. The change reflects the various items discussed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ectPr>
          <w:pgSz w:w="11900" w:h="16838" w:orient="portrait"/>
          <w:cols w:equalWidth="0" w:num="1">
            <w:col w:w="11240"/>
          </w:cols>
          <w:pgMar w:left="320" w:top="598" w:right="339" w:bottom="0" w:gutter="0" w:footer="0" w:header="0"/>
        </w:sectPr>
      </w:pPr>
    </w:p>
    <w:bookmarkStart w:id="17" w:name="page18"/>
    <w:bookmarkEnd w:id="17"/>
    <w:p>
      <w:pPr>
        <w:ind w:right="120"/>
        <w:spacing w:after="0" w:line="254"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is a non-GAAP financial performance measure that enhances financial statement users' overall understanding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8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Adjusted EBITDA and Cash Costs are reconciled to net income and Operating Expenses, below, the closest comparable numbers under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rPr>
          <w:sz w:val="20"/>
          <w:szCs w:val="20"/>
          <w:color w:val="auto"/>
        </w:rPr>
      </w:pPr>
      <w:r>
        <w:rPr>
          <w:rFonts w:ascii="Arial" w:cs="Arial" w:eastAsia="Arial" w:hAnsi="Arial"/>
          <w:sz w:val="18"/>
          <w:szCs w:val="18"/>
          <w:color w:val="auto"/>
        </w:rPr>
        <w:t>GAAP measure: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3580" w:type="dxa"/>
            <w:vAlign w:val="bottom"/>
          </w:tcPr>
          <w:p>
            <w:pPr>
              <w:jc w:val="right"/>
              <w:ind w:right="190"/>
              <w:spacing w:after="0"/>
              <w:rPr>
                <w:sz w:val="20"/>
                <w:szCs w:val="20"/>
                <w:color w:val="auto"/>
              </w:rPr>
            </w:pPr>
            <w:r>
              <w:rPr>
                <w:rFonts w:ascii="Arial" w:cs="Arial" w:eastAsia="Arial" w:hAnsi="Arial"/>
                <w:sz w:val="18"/>
                <w:szCs w:val="18"/>
                <w:color w:val="auto"/>
              </w:rPr>
              <w:t>December 26,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December 27,</w:t>
            </w:r>
          </w:p>
        </w:tc>
      </w:tr>
      <w:tr>
        <w:trPr>
          <w:trHeight w:val="203"/>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5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6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13,199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16,403</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3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3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5,351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6,311</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3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6,564</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(1,906)</w:t>
            </w:r>
          </w:p>
        </w:tc>
      </w:tr>
      <w:tr>
        <w:trPr>
          <w:trHeight w:val="203"/>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3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(1,754)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(1,743)</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(Gain) loss on sale of assets and other, net</w:t>
            </w:r>
          </w:p>
        </w:tc>
        <w:tc>
          <w:tcPr>
            <w:tcW w:w="3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(12,274)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5,222</w:t>
            </w:r>
          </w:p>
        </w:tc>
      </w:tr>
      <w:tr>
        <w:trPr>
          <w:trHeight w:val="203"/>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9,676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10,441</w:t>
            </w:r>
          </w:p>
        </w:tc>
      </w:tr>
      <w:tr>
        <w:trPr>
          <w:trHeight w:val="203"/>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3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3,200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3,167</w:t>
            </w:r>
          </w:p>
        </w:tc>
      </w:tr>
      <w:tr>
        <w:trPr>
          <w:trHeight w:val="203"/>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3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1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35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1,939</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1,890</w:t>
            </w:r>
          </w:p>
        </w:tc>
      </w:tr>
      <w:tr>
        <w:trPr>
          <w:trHeight w:val="196"/>
        </w:trPr>
        <w:tc>
          <w:tcPr>
            <w:tcW w:w="6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3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26,087</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40,005</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vMerge w:val="restart"/>
          </w:tcPr>
          <w:p>
            <w:pPr>
              <w:spacing w:after="0"/>
              <w:rPr>
                <w:sz w:val="20"/>
                <w:szCs w:val="20"/>
                <w:color w:val="auto"/>
              </w:rPr>
            </w:pPr>
            <w:r>
              <w:rPr>
                <w:rFonts w:ascii="Arial" w:cs="Arial" w:eastAsia="Arial" w:hAnsi="Arial"/>
                <w:sz w:val="16"/>
                <w:szCs w:val="16"/>
                <w:i w:val="1"/>
                <w:iCs w:val="1"/>
                <w:color w:val="auto"/>
              </w:rPr>
              <w:t>(Thousands of Dollars)</w:t>
            </w:r>
          </w:p>
        </w:tc>
        <w:tc>
          <w:tcPr>
            <w:tcW w:w="3320" w:type="dxa"/>
            <w:vAlign w:val="bottom"/>
          </w:tcPr>
          <w:p>
            <w:pPr>
              <w:jc w:val="right"/>
              <w:ind w:right="190"/>
              <w:spacing w:after="0"/>
              <w:rPr>
                <w:sz w:val="20"/>
                <w:szCs w:val="20"/>
                <w:color w:val="auto"/>
              </w:rPr>
            </w:pPr>
            <w:r>
              <w:rPr>
                <w:rFonts w:ascii="Arial" w:cs="Arial" w:eastAsia="Arial" w:hAnsi="Arial"/>
                <w:sz w:val="18"/>
                <w:szCs w:val="18"/>
                <w:color w:val="auto"/>
              </w:rPr>
              <w:t>December 26,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December 27,</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vMerge w:val="continue"/>
          </w:tcPr>
          <w:p>
            <w:pPr>
              <w:spacing w:after="0"/>
              <w:rPr>
                <w:sz w:val="17"/>
                <w:szCs w:val="17"/>
                <w:color w:val="auto"/>
              </w:rPr>
            </w:pPr>
          </w:p>
        </w:tc>
        <w:tc>
          <w:tcPr>
            <w:tcW w:w="3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3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178,922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192,752</w:t>
            </w: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3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9,676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03"/>
        </w:trPr>
        <w:tc>
          <w:tcPr>
            <w:tcW w:w="644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3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(12,274)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03"/>
        </w:trPr>
        <w:tc>
          <w:tcPr>
            <w:tcW w:w="64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33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3,200</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33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178,320</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173,922</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provided by operating activities totaled $570,000 in 2021 compared to $18,916,000 in 2020, a decrease of $18,346,000. The decrease was driven by a decrease in operating results of $9,670,000 (defined as net income (loss) adjusted for non-working capital items) and a decrease in cash from working capital of $8,677,000, primarily related to unfavorable changes in accounts payable, postretirement liabilities, income taxes payable and warrants, partially offset by favorable changes in accounts receivable.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3" w:right="339" w:bottom="916"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provided by investing activities totaled $11,954,000 in the 2022 Period compared to cash required for investing activities of $619,000 in the 2021 Period. 2022 included $14,406,000 in proceeds from the sale of assets as the Company divested non-core real estate.</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anticipate that funds necessary for capital expenditures, which are expected to be $12,000,000 in 2022, and other requirements, will be available from internally generated funds.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required for financing activities totaled $20,051,000 in the 2022 Period compared to $14,888,000 in the 2021 Period. Debt reduction accounted for nearly all of the usage of funds in the 2022 and 2021 Periods.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liquidity, consisting of cash on the balance sheet, totals $18,585,000 at December 26, 2021.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Warrants, as defined in Note 5, if and when exercised, would provide additional liquidity in an amount up to $25,140,000.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2020 our filing of a replacement Form S-3 registration statement ("Shelf") with the SEC was declared effective and expires February 2023.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North American newsprint producers implemented an October 2021 price increase of $ 25 per tonne, the seventh increase in 2021. Additional January and March price increases of $25 per tonne have been announced. The newsprint supply chain is challenged due to significant capacity reductions taken in the last two years including paper machine permanent shutdowns, conversion to paper grades other than newsprint, and recovering demand, domestically and exports, for newsprint. Like other industries, the supply chain is further challenged by shipping delays due to restrictions of personnel crossing the US/Canada boarder.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continues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$10 per tonne price increase on 27.7 pound newsprint would result in an annualized reduction in income before taxes of approximately $470,000 based on current and anticipated consumption trends in 2022, excluding consumption of TNI and MNI and the impact of LIFO accounting.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fixed rate debt consists of $ 462,554,000 principal amount of the Term Loan recorded at carrying value. At December 26, 2021, based on market price quotations, the fair value approximates carrying value.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51" w:gutter="0" w:footer="0" w:header="0"/>
        </w:sectPr>
      </w:pPr>
    </w:p>
    <w:bookmarkStart w:id="19" w:name="page20"/>
    <w:bookmarkEnd w:id="19"/>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December 26, 2021 that have materially affected, or are reasonably likely to materially affect, our internal control over financial reporting.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2021 Form 10-K.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560" w:type="dxa"/>
            <w:vAlign w:val="bottom"/>
            <w:tcBorders>
              <w:top w:val="single" w:sz="8" w:color="auto"/>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c>
          <w:tcPr>
            <w:tcW w:w="920" w:type="dxa"/>
            <w:vAlign w:val="bottom"/>
            <w:tcBorders>
              <w:top w:val="single" w:sz="8" w:color="auto"/>
              <w:bottom w:val="single" w:sz="8" w:color="auto"/>
            </w:tcBorders>
          </w:tcPr>
          <w:p>
            <w:pPr>
              <w:spacing w:after="0"/>
              <w:rPr>
                <w:sz w:val="18"/>
                <w:szCs w:val="18"/>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Rule 13a-14(a) Certification of Chief Executive Officer</w:t>
              </w:r>
            </w:hyperlink>
          </w:p>
        </w:tc>
        <w:tc>
          <w:tcPr>
            <w:tcW w:w="456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2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Rule 13a-14(a) Certification of Chief Financial Officer</w:t>
              </w:r>
            </w:hyperlink>
          </w:p>
        </w:tc>
        <w:tc>
          <w:tcPr>
            <w:tcW w:w="4620" w:type="dxa"/>
            <w:vAlign w:val="bottom"/>
            <w:gridSpan w:val="2"/>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840" w:type="dxa"/>
            <w:vAlign w:val="bottom"/>
            <w:gridSpan w:val="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Section 1350 Certification of Chief Executive Officer</w:t>
              </w:r>
            </w:hyperlink>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182"/>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1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Section 1350 Certification of Chief Financial Officer</w:t>
              </w:r>
            </w:hyperlink>
          </w:p>
        </w:tc>
        <w:tc>
          <w:tcPr>
            <w:tcW w:w="4720" w:type="dxa"/>
            <w:vAlign w:val="bottom"/>
            <w:gridSpan w:val="3"/>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r>
      <w:tr>
        <w:trPr>
          <w:trHeight w:val="20"/>
        </w:trPr>
        <w:tc>
          <w:tcPr>
            <w:tcW w:w="148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8840" w:type="dxa"/>
            <w:vAlign w:val="bottom"/>
            <w:gridSpan w:val="5"/>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rPr>
                <w:sz w:val="17"/>
                <w:szCs w:val="17"/>
                <w:color w:val="auto"/>
              </w:rPr>
            </w:pP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480" w:type="dxa"/>
            <w:vAlign w:val="bottom"/>
            <w:tcBorders>
              <w:bottom w:val="single" w:sz="8" w:color="auto"/>
            </w:tcBorders>
          </w:tcPr>
          <w:p>
            <w:pPr>
              <w:spacing w:after="0"/>
              <w:rPr>
                <w:sz w:val="17"/>
                <w:szCs w:val="17"/>
                <w:color w:val="auto"/>
              </w:rPr>
            </w:pPr>
          </w:p>
        </w:tc>
        <w:tc>
          <w:tcPr>
            <w:tcW w:w="8840" w:type="dxa"/>
            <w:vAlign w:val="bottom"/>
            <w:tcBorders>
              <w:bottom w:val="single" w:sz="8" w:color="auto"/>
            </w:tcBorders>
            <w:gridSpan w:val="5"/>
          </w:tcPr>
          <w:p>
            <w:pPr>
              <w:spacing w:after="0" w:line="203" w:lineRule="exact"/>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7"/>
                <w:szCs w:val="17"/>
                <w:color w:val="auto"/>
              </w:rPr>
            </w:pPr>
          </w:p>
        </w:tc>
      </w:tr>
      <w:tr>
        <w:trPr>
          <w:trHeight w:val="614"/>
        </w:trPr>
        <w:tc>
          <w:tcPr>
            <w:tcW w:w="1480" w:type="dxa"/>
            <w:vAlign w:val="bottom"/>
          </w:tcPr>
          <w:p>
            <w:pPr>
              <w:spacing w:after="0"/>
              <w:rPr>
                <w:sz w:val="24"/>
                <w:szCs w:val="24"/>
                <w:color w:val="auto"/>
              </w:rPr>
            </w:pPr>
          </w:p>
        </w:tc>
        <w:tc>
          <w:tcPr>
            <w:tcW w:w="4280" w:type="dxa"/>
            <w:vAlign w:val="bottom"/>
            <w:gridSpan w:val="4"/>
          </w:tcPr>
          <w:p>
            <w:pPr>
              <w:ind w:left="4040"/>
              <w:spacing w:after="0"/>
              <w:rPr>
                <w:sz w:val="20"/>
                <w:szCs w:val="20"/>
                <w:color w:val="auto"/>
              </w:rPr>
            </w:pPr>
            <w:r>
              <w:rPr>
                <w:rFonts w:ascii="Arial" w:cs="Arial" w:eastAsia="Arial" w:hAnsi="Arial"/>
                <w:sz w:val="18"/>
                <w:szCs w:val="18"/>
                <w:color w:val="auto"/>
              </w:rPr>
              <w:t>17</w:t>
            </w:r>
          </w:p>
        </w:tc>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14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194" w:lineRule="exact"/>
        <w:rPr>
          <w:sz w:val="20"/>
          <w:szCs w:val="20"/>
          <w:color w:val="auto"/>
        </w:rPr>
      </w:pPr>
    </w:p>
    <w:p>
      <w:pPr>
        <w:ind w:left="280"/>
        <w:spacing w:after="0"/>
        <w:tabs>
          <w:tab w:leader="none" w:pos="956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February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32232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Timothy R. Millage</w:t>
      </w:r>
    </w:p>
    <w:p>
      <w:pPr>
        <w:ind w:left="28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23" w:name="page24"/>
    <w:bookmarkEnd w:id="23"/>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920" w:right="800" w:hanging="912"/>
        <w:spacing w:after="0" w:line="246"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26,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24" w:name="page25"/>
    <w:bookmarkEnd w:id="24"/>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580" w:right="40" w:hanging="572"/>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26, 2021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580" w:right="720" w:hanging="572"/>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6"/>
      <w:numFmt w:val="bullet"/>
      <w:start w:val="1"/>
    </w:lvl>
  </w:abstractNum>
  <w:abstractNum w:abstractNumId="8">
    <w:nsid w:val="25E45D32"/>
    <w:multiLevelType w:val="hybridMultilevel"/>
    <w:lvl w:ilvl="0">
      <w:lvlJc w:val="left"/>
      <w:lvlText w:val="7"/>
      <w:numFmt w:val="bullet"/>
      <w:start w:val="1"/>
    </w:lvl>
  </w:abstractNum>
  <w:abstractNum w:abstractNumId="9">
    <w:nsid w:val="519B500D"/>
    <w:multiLevelType w:val="hybridMultilevel"/>
    <w:lvl w:ilvl="0">
      <w:lvlJc w:val="left"/>
      <w:lvlText w:val="8"/>
      <w:numFmt w:val="bullet"/>
      <w:start w:val="1"/>
    </w:lvl>
  </w:abstractNum>
  <w:abstractNum w:abstractNumId="10">
    <w:nsid w:val="431BD7B7"/>
    <w:multiLevelType w:val="hybridMultilevel"/>
    <w:lvl w:ilvl="0">
      <w:lvlJc w:val="left"/>
      <w:lvlText w:val="9"/>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2022-02-04T11:34:02Z</dcterms:created>
  <dcterms:modified xsi:type="dcterms:W3CDTF">2022-02-04T11:34:02Z</dcterms:modified>
</cp:coreProperties>
</file>